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3818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April</w:t>
      </w:r>
    </w:p>
    <w:p>
      <w:pPr>
        <w:spacing w:after="0" w:line="13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2023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Rosenlundsgatan 31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11 863 Stockholm, Sweden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NIP Group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0001966233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Mario Yau Kwan Ho: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F-1 filed March 17, 2023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Cover Page,</w:t>
            </w:r>
          </w:p>
        </w:tc>
        <w:tc>
          <w:tcPr>
            <w:tcW w:w="5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2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 your auditor and the location of its headquarters. Also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Companies Accountable Act, as</w:t>
            </w:r>
          </w:p>
        </w:tc>
        <w:tc>
          <w:tcPr>
            <w:tcW w:w="5200" w:type="dxa"/>
            <w:vAlign w:val="bottom"/>
          </w:tcPr>
          <w:p>
            <w:pPr>
              <w:ind w:left="2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how the Holding Foreign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amended by the Consolidated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2023, and related regulations</w:t>
            </w:r>
          </w:p>
        </w:tc>
        <w:tc>
          <w:tcPr>
            <w:tcW w:w="5200" w:type="dxa"/>
            <w:vAlign w:val="bottom"/>
          </w:tcPr>
          <w:p>
            <w:pPr>
              <w:ind w:left="2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Appropriations Act,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affect your company.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2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augment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3079" w:hanging="5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how cash is transferred through your organization to include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cross-references to the condensed consolidating schedule and consolidated financial statements,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to the comparable discussions in the Prospectus Summary,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Summary of Risk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and specifically identified risk factors.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LastNameMario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Yau Kwan Ho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NameNIP Group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212,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"face risks associated with regulatory approvals 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 conducted overseas by and foreign investment in China-based issuers, anti-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monopoly regulatory actions, oversight on cybersecurity, data privacy and personal</w:t>
      </w:r>
    </w:p>
    <w:p>
      <w:pPr>
        <w:ind w:right="21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information." Please revise to provide more detail as to how recent statements and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actions by China s government related to the use of variable interest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entities, data security and anti-monopoly concerns have or may impact the company 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conduct its business, accept foreign investments, or list on a U.S. or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exchange, or supplementally confirm that they have and will not have any such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We note your statement on pages 1, 104 and 118 that you "are actively exploring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in areas such as esports education and training, fan universe (B2C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monetization and metaverse), NFTs, esports real estate and IP licensing." If true,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that you do not currently have plans or agreements in place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possible opportunities, and that you do not know if or when you might ever have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or agreements in place regarding such opportunities.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We note your statements throughout the prospectus that you have the "most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expansive global footprint in the world." Please revise to provide the basis for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or characterize it as management's belief and the basis for such belief.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Please revise the diagram on page 8 or the footnotes thereto to identify the entities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persons who own Seventh Hokage, xiaOt Sun Holdings, Diglife, Tolsona, Nyx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Ventures, and Shanghai Yuyun Management Partnership; the minority interests in the four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subsidiaries of the VIE; and the approximat number and general nature of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"Other Existing Shareholders" of the holding company.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We note your disclosure on pages 8 and 9 regarding permissions and approvals required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CAC and the CSRC. Please revise to disclose each other permission or approval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you, your subsidiaries, or the VIEs are required to obtain from Chinese authorities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operate your business and to offer the securities being registered to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investors. State affirmatively whether you have received all such requisite permissions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approvals and whether any permissions or approvals have been denied. Please also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consequences to you and your investors if you, your subsidiaries, or the VIEs: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do not receive or maintain such permissions or approvals, (ii)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inadvertently conclude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such permissions or approvals are not required, or (iii)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laws, regulations, or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change and you are required to obtain such permissions or approvals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 It appears that you did not rely on an opinion of counsel with respect to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 regarding whether you need permissions and approvals to operate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to offer securities to investors; if true, state as much and explain why such an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was not obtained. With respect to your disclosure about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64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Trial Measures,</w:t>
            </w:r>
          </w:p>
        </w:tc>
        <w:tc>
          <w:tcPr>
            <w:tcW w:w="6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Mario Yau Kwan</w:t>
            </w:r>
          </w:p>
        </w:tc>
        <w:tc>
          <w:tcPr>
            <w:tcW w:w="6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NIP Group LastNameMario  Yau Kwan 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jc w:val="center"/>
              <w:ind w:right="4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NameNIP Group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12, 2023</w:t>
            </w:r>
          </w:p>
        </w:tc>
        <w:tc>
          <w:tcPr>
            <w:tcW w:w="6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April 312, 2023</w:t>
            </w:r>
          </w:p>
        </w:tc>
        <w:tc>
          <w:tcPr>
            <w:tcW w:w="6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please</w:t>
            </w:r>
          </w:p>
        </w:tc>
        <w:tc>
          <w:tcPr>
            <w:tcW w:w="6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affirmatively state that you are subject to the Trial Measures,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further describe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filing</w:t>
            </w:r>
          </w:p>
        </w:tc>
        <w:tc>
          <w:tcPr>
            <w:tcW w:w="6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requirements and any timing considerations, and update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where you are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jc w:val="center"/>
              <w:ind w:right="4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CSRC review process.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Summary of Risk</w:t>
            </w:r>
          </w:p>
        </w:tc>
        <w:tc>
          <w:tcPr>
            <w:tcW w:w="6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Factors,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30" w:lineRule="auto"/>
        <w:framePr w:w="940" w:h="349" w:wrap="auto" w:vAnchor="page" w:hAnchor="page" w:x="280" w:y="1492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April</w:t>
      </w:r>
    </w:p>
    <w:p>
      <w:pPr>
        <w:spacing w:after="0" w:line="2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summary of risk factors, disclose the risks that your corporate structure and being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in or having the majority of the company s operations in China poses to investors.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particular, describe the significant regulatory, liquidity, and enforcement risks with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cross-references to the more detailed discussion of these risks in the prospectus. For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specifically discuss risks arising from the legal system in China, including risks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uncertainties regarding the enforcement of laws and that rules and regulations in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can change quickly with little advance notice; and the risk that the Chinese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may intervene or influence your operations at any time, or may exert more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offerings conducted overseas and/or foreign investment in China-based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issuers, which could result in a material change in your operations and/or the value of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you are registering for sale. Acknowledge any risks that any actions by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government to exert more oversight and control over offerings that are conducted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overseas and/or foreign investment in China-based issuers could significantly limit or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hinder your ability to offer or continue to offer securities to investors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PRC government deems that our contractual arrangements with the VIE do not comply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PRC regulatory restrictions ..., page 40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risk factor to acknowledge that if the PRC government determines that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arrangements constituting part of the VIE structure do not comply with PRC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regulations, or if these regulations change or are interpreted differently in the future,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you are registering may decline in value or become worthless if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determinations, changes, or interpretations result in your inability to assert contractual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the assets of your PRC subsidiaries or the VIEs that conduct all or</w:t>
      </w:r>
    </w:p>
    <w:p>
      <w:pPr>
        <w:ind w:right="5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all of your operations. Risk Factors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Doing Business in China, page 44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Given the Chinese government s significant oversight and discretion over the conduct of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please revise to highlight separately the risk that the Chinese government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intervene or influence your operations at any time, which could result in a material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your operations and/or the value of the securities you are registering. Also,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recent statements by the Chinese government indicating an intent to exert more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oversight and control over offerings that are conducted overseas and/or foreign investment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China-based issuers, acknowledge the risk that any such action could significantly limit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completely hinder your ability to offer or continue to offer securities to investors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LastNameMario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Yau Kwan Ho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NameNIP Group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412,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 of Comprehensive Profit or Loss, page</w:t>
      </w:r>
    </w:p>
    <w:p>
      <w:pPr>
        <w:sectPr>
          <w:pgSz w:w="11900" w:h="16865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pro forma information to give effect to the acquisition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Ninjas in Pyjamas that occurred on January 10, 2023. Please tell us how your presentation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complies with Rule 11-02 of Regulation S-X.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disclosure, "[w]e experienced robust growth in our net revenues, which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from US$5.7 million in 2020 to US$31.8 million in 2021. We recorded gross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of US$0.9 million in 2020 and gross loss of US$0.6 million in 2021, representing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margin of 16.6% and gross loss margin of 1.9%, respectively." Please revise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to elaborate upon and explain the downward trend in your gross profit from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2020 to 2021. Discuss any known trends that may be impacting this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with a view to understanding how and whether such trend may impact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be profitable in the future.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disclosure does not discuss the impact of Covid-19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To the extent applicable, please amend your disclosure to provide a more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discussion and quantification of the effects of COVID-19 on your business.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Components of Results of Operations, page 84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tabular presentation here presents the results of operations for NIP Group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fiscal 2020 and 2021, and a column for the pro forma results of operation reflecting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results of NIP Group and Ninjas in Pyjamas. Please revise your tabular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here and throughout MD&amp;A to also include a column that presents the results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Ninjas in Pyjamas. Additionally, please note that the pro forma information presented</w:t>
      </w:r>
    </w:p>
    <w:p>
      <w:pPr>
        <w:ind w:right="33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consistent with Article 11 of Regulation S-X. Results of Operations, page 87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reconciliation of the revenue and cost of revenue amounts discussed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results of operations to the net revenue from third parties and related parties line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and cost of revenue provided by third parties and related parties line items presented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Consolidated Statement of Operations and Comprehensive Loss. Additionally,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gross profit generated by third parties and the gross loss generated from</w:t>
      </w:r>
    </w:p>
    <w:p>
      <w:pPr>
        <w:ind w:right="74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parties. Management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of Directors and Executive Officers, page 145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update this information for the most recently completed fiscal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 NIP Group Inc. April 12, 2023 Page 5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of NIP Group Inc. (formerly known as ESVF Esports Group Inc.) as of and</w:t>
      </w:r>
    </w:p>
    <w:p>
      <w:pPr>
        <w:ind w:right="6239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Year Ended December 31, 2021 Organization and Principal Activities</w:t>
      </w:r>
    </w:p>
    <w:p>
      <w:pPr>
        <w:ind w:right="2859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History of the Group and Basis of Presentation for the Reorganization Reverse Acquisition, Reorganization, page F-9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under the headers "Reverse Acquisition" and "Reorganization"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this note that, on March 18, 2021, Wuhan ESVF and Shenzhen VF completed a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Reverse Acquisition, with Shenzhen VF as the accounting acquirer,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230" w:lineRule="auto"/>
        <w:framePr w:w="940" w:h="349" w:wrap="auto" w:vAnchor="page" w:hAnchor="page" w:x="280" w:y="1330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April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Shenzhen VF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deemed to be the predecessor for accounting purposes, and that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554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historical financial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historical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4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statements of Shenzhen VF became the Group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statements for periods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the consummation of the Reverse Acquisition. We also note your disclosure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this note that the transaction of the reorganization was determined to be a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recapitalization with lack of economic substance, and therefore was accounted for in a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 similar to a common control transaction with the financial information of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presented on a carryover basis for all periods presented.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Finally, we also note the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Note 3 on page F-28 that this same transaction is being treated as a business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for accounting purposes and is accounted for using the acquisition method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ASC 805, with Shenzhen VF deemed to be the accounting acquirer and its assets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liabilities, equity and historical operating results being included at their historical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carrying values, and the assets and liabilities of Wuhan ESVF were recorded at fair value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date of the transaction. Please reconcile this apparent disparity in accounting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</w:t>
      </w:r>
    </w:p>
    <w:p>
      <w:pPr>
        <w:ind w:right="7499" w:firstLine="8"/>
        <w:spacing w:after="0" w:line="268" w:lineRule="auto"/>
        <w:tabs>
          <w:tab w:leader="none" w:pos="421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Recognition Talent Management Service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third-party online entertainers, page F-22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analysis that determines revenue earned for talent provided by third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online entertainers should be recognized on a gross basis. Refer to ASC 606-10-55-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 through 40. Include in your response the specific services the third parties provide,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are involved in stipulating how these services are provided.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Rule 405 under the Securities Act, that you, or anyone authorized to do so on your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behalf, have presented or expect to present to potential investors in reliance on Section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LastNameMario Yau Kwan Ho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5(d) of the Securities Act, whether or not you retained, or intend to retain, copies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thoseNameNIP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Group Inc.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 Please contact the staff member associated with the review of this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Page</w:t>
      </w:r>
    </w:p>
    <w:p>
      <w:pPr>
        <w:ind w:left="1160"/>
        <w:spacing w:after="0" w:line="238" w:lineRule="auto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  <w:tab/>
        <w:t>discuss</w:t>
      </w: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 how to submit the materials, if any, to us for 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Mario Yau Kwan Ho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NIP Group LastNameMario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Yau Kwan Ho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NameNIP Group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612, 2023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Amy Geddes at 202-551-3304 or Theresa Brillant at 202-551-3307 if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Scott Anderegg at 202-551-3342 or Lilyanna Peyser at 202-551-3222 with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335" w:gutter="0" w:footer="0" w:header="0"/>
        </w:sectPr>
      </w:pPr>
    </w:p>
    <w:bookmarkStart w:id="5" w:name="page6"/>
    <w:bookmarkEnd w:id="5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2EB141F2"/>
    <w:multiLevelType w:val="hybridMultilevel"/>
    <w:lvl w:ilvl="0">
      <w:lvlJc w:val="left"/>
      <w:lvlText w:val="%1"/>
      <w:numFmt w:val="decimal"/>
      <w:start w:val="83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13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2024-08-23T23:16:08Z</dcterms:created>
  <dcterms:modified xsi:type="dcterms:W3CDTF">2024-08-23T23:16:08Z</dcterms:modified>
</cp:coreProperties>
</file>