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2805430</wp:posOffset>
            </wp:positionH>
            <wp:positionV relativeFrom="page">
              <wp:posOffset>311785</wp:posOffset>
            </wp:positionV>
            <wp:extent cx="1903095"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03095" cy="231775"/>
                    </a:xfrm>
                    <a:prstGeom prst="rect">
                      <a:avLst/>
                    </a:prstGeom>
                    <a:noFill/>
                  </pic:spPr>
                </pic:pic>
              </a:graphicData>
            </a:graphic>
          </wp:anchor>
        </w:drawing>
        <w:t>26th Floor, Gloucester Tower</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Landmark</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 Queen’s Road Central</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4"/>
          <w:szCs w:val="24"/>
          <w:color w:val="auto"/>
        </w:rPr>
      </w:pPr>
    </w:p>
    <w:tbl>
      <w:tblPr>
        <w:tblLayout w:type="fixed"/>
        <w:tblInd w:w="4560" w:type="dxa"/>
        <w:tblCellMar>
          <w:top w:w="0" w:type="dxa"/>
          <w:left w:w="0" w:type="dxa"/>
          <w:bottom w:w="0" w:type="dxa"/>
          <w:right w:w="0" w:type="dxa"/>
        </w:tblCellMar>
      </w:tblPr>
      <w:tr>
        <w:trPr>
          <w:trHeight w:val="216"/>
        </w:trPr>
        <w:tc>
          <w:tcPr>
            <w:tcW w:w="28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Telephone: +852 3761 3300</w:t>
            </w:r>
          </w:p>
        </w:tc>
        <w:tc>
          <w:tcPr>
            <w:tcW w:w="26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Steve Lin</w:t>
            </w:r>
          </w:p>
        </w:tc>
      </w:tr>
      <w:tr>
        <w:trPr>
          <w:trHeight w:val="216"/>
        </w:trPr>
        <w:tc>
          <w:tcPr>
            <w:tcW w:w="28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Facsimile: +852 3761 3301</w:t>
            </w:r>
          </w:p>
        </w:tc>
        <w:tc>
          <w:tcPr>
            <w:tcW w:w="26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To Call Writer Directly</w:t>
            </w:r>
          </w:p>
        </w:tc>
      </w:tr>
      <w:tr>
        <w:trPr>
          <w:trHeight w:val="216"/>
        </w:trPr>
        <w:tc>
          <w:tcPr>
            <w:tcW w:w="2880" w:type="dxa"/>
            <w:vAlign w:val="bottom"/>
          </w:tcPr>
          <w:p>
            <w:pPr>
              <w:spacing w:after="0"/>
              <w:rPr>
                <w:sz w:val="18"/>
                <w:szCs w:val="18"/>
                <w:color w:val="auto"/>
              </w:rPr>
            </w:pPr>
          </w:p>
        </w:tc>
        <w:tc>
          <w:tcPr>
            <w:tcW w:w="26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+86 1057379315</w:t>
            </w:r>
          </w:p>
        </w:tc>
      </w:tr>
      <w:tr>
        <w:trPr>
          <w:trHeight w:val="234"/>
        </w:trPr>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www.kirkland.com</w:t>
            </w:r>
          </w:p>
        </w:tc>
        <w:tc>
          <w:tcPr>
            <w:tcW w:w="26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steve.lin@kirkland.com</w:t>
            </w:r>
          </w:p>
        </w:tc>
      </w:tr>
      <w:tr>
        <w:trPr>
          <w:trHeight w:val="432"/>
        </w:trPr>
        <w:tc>
          <w:tcPr>
            <w:tcW w:w="2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June 12, 2024</w:t>
            </w:r>
          </w:p>
        </w:tc>
        <w:tc>
          <w:tcPr>
            <w:tcW w:w="2600" w:type="dxa"/>
            <w:vAlign w:val="bottom"/>
          </w:tcPr>
          <w:p>
            <w:pPr>
              <w:spacing w:after="0"/>
              <w:rPr>
                <w:sz w:val="24"/>
                <w:szCs w:val="24"/>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Rucha Pandit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Lilyanna Peyser</w:t>
      </w:r>
    </w:p>
    <w:p>
      <w:pPr>
        <w:spacing w:after="0" w:line="203" w:lineRule="exact"/>
        <w:rPr>
          <w:sz w:val="24"/>
          <w:szCs w:val="24"/>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NIP Group Inc. (CIK No. 0001966233)</w:t>
      </w:r>
    </w:p>
    <w:p>
      <w:pPr>
        <w:spacing w:after="0" w:line="22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Statement on Form F-1</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Pandit and Ms. Peyser:</w:t>
      </w:r>
    </w:p>
    <w:p>
      <w:pPr>
        <w:spacing w:after="0" w:line="221"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behalf of NIP Group Inc., a foreign private issuer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submit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this letter setting forth the Company’s responses to the comments contained in the Staff’s letter dated December 19, 2023 on the Company’s draft registration statement on Form F-1 confidentially submitted on November 29, 2023 relating to a proposed initial public offering in the American Depositary Shares, representing the Company’s ordinary shares (the “</w:t>
      </w:r>
      <w:r>
        <w:rPr>
          <w:rFonts w:ascii="Times New Roman" w:cs="Times New Roman" w:eastAsia="Times New Roman" w:hAnsi="Times New Roman"/>
          <w:sz w:val="18"/>
          <w:szCs w:val="18"/>
          <w:b w:val="1"/>
          <w:bCs w:val="1"/>
          <w:color w:val="auto"/>
        </w:rPr>
        <w:t>Draft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Concurrently with the submission of this letter, the Company is filing its registration statement on Form F-1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certain exhibits thereto via EDGAR with the Commission.</w:t>
      </w:r>
    </w:p>
    <w:p>
      <w:pPr>
        <w:spacing w:after="0" w:line="186"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responded to the Staff’s comments by revising the Draft Registration Statement to address the comments. The Staff’s comments are repeated below in bold and are followed by the Company’s responses. We have included page references to the Registration Statement where the language addressing a particular comment appears. Capitalized terms used but not otherwise defined herein have the meanings set forth in the Registration Statement.</w:t>
      </w:r>
    </w:p>
    <w:p>
      <w:pPr>
        <w:spacing w:after="0" w:line="187" w:lineRule="exact"/>
        <w:rPr>
          <w:sz w:val="24"/>
          <w:szCs w:val="24"/>
          <w:color w:val="auto"/>
        </w:rPr>
      </w:pPr>
    </w:p>
    <w:p>
      <w:pPr>
        <w:jc w:val="both"/>
        <w:spacing w:after="0" w:line="184" w:lineRule="auto"/>
        <w:rPr>
          <w:sz w:val="20"/>
          <w:szCs w:val="20"/>
          <w:color w:val="auto"/>
        </w:rPr>
      </w:pPr>
      <w:r>
        <w:rPr>
          <w:rFonts w:ascii="Times New Roman" w:cs="Times New Roman" w:eastAsia="Times New Roman" w:hAnsi="Times New Roman"/>
          <w:sz w:val="14"/>
          <w:szCs w:val="14"/>
          <w:b w:val="1"/>
          <w:bCs w:val="1"/>
          <w:color w:val="auto"/>
        </w:rPr>
        <w:t xml:space="preserve">PARTNERS: </w:t>
      </w:r>
      <w:r>
        <w:rPr>
          <w:rFonts w:ascii="Times New Roman" w:cs="Times New Roman" w:eastAsia="Times New Roman" w:hAnsi="Times New Roman"/>
          <w:sz w:val="14"/>
          <w:szCs w:val="14"/>
          <w:color w:val="auto"/>
        </w:rPr>
        <w:t>Pierre-Luc Arsenault</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Joseph R. Casey</w:t>
      </w:r>
      <w:r>
        <w:rPr>
          <w:rFonts w:ascii="Times New Roman" w:cs="Times New Roman" w:eastAsia="Times New Roman" w:hAnsi="Times New Roman"/>
          <w:sz w:val="22"/>
          <w:szCs w:val="22"/>
          <w:color w:val="auto"/>
          <w:vertAlign w:val="superscript"/>
        </w:rPr>
        <w:t>9</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Manas Chandrashekar</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Lai Yi Chau | Michelle Cheh</w:t>
      </w: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Yik Chin Choi | Jerry C.M. Choi | Maurice Conway</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Justin M. Dolling</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David Patrick Eich</w:t>
      </w:r>
      <w:r>
        <w:rPr>
          <w:rFonts w:ascii="Times New Roman" w:cs="Times New Roman" w:eastAsia="Times New Roman" w:hAnsi="Times New Roman"/>
          <w:sz w:val="22"/>
          <w:szCs w:val="22"/>
          <w:color w:val="auto"/>
          <w:vertAlign w:val="superscript"/>
        </w:rPr>
        <w:t>1,4,5</w:t>
      </w:r>
      <w:r>
        <w:rPr>
          <w:rFonts w:ascii="Times New Roman" w:cs="Times New Roman" w:eastAsia="Times New Roman" w:hAnsi="Times New Roman"/>
          <w:sz w:val="14"/>
          <w:szCs w:val="14"/>
          <w:color w:val="auto"/>
        </w:rPr>
        <w:t xml:space="preserve"> | Yuan Yue Jennifer Feng</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 Liu Gan</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4"/>
          <w:szCs w:val="14"/>
          <w:color w:val="auto"/>
        </w:rPr>
        <w:t xml:space="preserve"> | Paul Guan</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4"/>
          <w:szCs w:val="14"/>
          <w:color w:val="auto"/>
        </w:rPr>
        <w:t xml:space="preserve"> | James A. Hill</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 Brian Y.T. Ho | Karen K.Y. Ho | Ka Chun Hui | Guang Li</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4"/>
          <w:szCs w:val="14"/>
          <w:color w:val="auto"/>
        </w:rPr>
        <w:t xml:space="preserve"> | Wei Yang Lim</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 Mengyu Lu</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4"/>
          <w:szCs w:val="14"/>
          <w:color w:val="auto"/>
        </w:rPr>
        <w:t xml:space="preserve"> |</w:t>
      </w:r>
    </w:p>
    <w:p>
      <w:pPr>
        <w:spacing w:after="0" w:line="2" w:lineRule="exact"/>
        <w:rPr>
          <w:sz w:val="24"/>
          <w:szCs w:val="24"/>
          <w:color w:val="auto"/>
        </w:rPr>
      </w:pPr>
    </w:p>
    <w:p>
      <w:pPr>
        <w:jc w:val="both"/>
        <w:spacing w:after="0" w:line="223" w:lineRule="auto"/>
        <w:rPr>
          <w:sz w:val="20"/>
          <w:szCs w:val="20"/>
          <w:color w:val="auto"/>
        </w:rPr>
      </w:pPr>
      <w:r>
        <w:rPr>
          <w:rFonts w:ascii="Times New Roman" w:cs="Times New Roman" w:eastAsia="Times New Roman" w:hAnsi="Times New Roman"/>
          <w:sz w:val="14"/>
          <w:szCs w:val="14"/>
          <w:color w:val="auto"/>
        </w:rPr>
        <w:t>Neil E.M. McDonald | Kelly Naphtali | Amy Y.M. Ngan</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 Nicholas A. Norris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 Paul S. Quinn | Louis A. Rabinowitz</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 xml:space="preserve"> | Fergus A. Saurin</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 Jesse D. Sheley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 Yusang Shen | Wai Ming Wong</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4"/>
          <w:szCs w:val="14"/>
          <w:color w:val="auto"/>
        </w:rPr>
        <w:t xml:space="preserve"> | Peng Yu</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 xml:space="preserve"> | Jacqueline B.N. Zheng</w:t>
      </w:r>
      <w:r>
        <w:rPr>
          <w:rFonts w:ascii="Times New Roman" w:cs="Times New Roman" w:eastAsia="Times New Roman" w:hAnsi="Times New Roman"/>
          <w:sz w:val="23"/>
          <w:szCs w:val="23"/>
          <w:color w:val="auto"/>
          <w:vertAlign w:val="superscript"/>
        </w:rPr>
        <w:t>3,5</w:t>
      </w:r>
      <w:r>
        <w:rPr>
          <w:rFonts w:ascii="Times New Roman" w:cs="Times New Roman" w:eastAsia="Times New Roman" w:hAnsi="Times New Roman"/>
          <w:sz w:val="14"/>
          <w:szCs w:val="14"/>
          <w:color w:val="auto"/>
        </w:rPr>
        <w:t xml:space="preserve"> | Liang Zhu</w:t>
      </w:r>
      <w:r>
        <w:rPr>
          <w:rFonts w:ascii="Times New Roman" w:cs="Times New Roman" w:eastAsia="Times New Roman" w:hAnsi="Times New Roman"/>
          <w:sz w:val="23"/>
          <w:szCs w:val="23"/>
          <w:color w:val="auto"/>
          <w:vertAlign w:val="superscript"/>
        </w:rPr>
        <w:t>3</w:t>
      </w:r>
    </w:p>
    <w:p>
      <w:pPr>
        <w:spacing w:after="0" w:line="23" w:lineRule="exact"/>
        <w:rPr>
          <w:sz w:val="24"/>
          <w:szCs w:val="24"/>
          <w:color w:val="auto"/>
        </w:rPr>
      </w:pPr>
    </w:p>
    <w:p>
      <w:pPr>
        <w:jc w:val="both"/>
        <w:ind w:right="20"/>
        <w:spacing w:after="0" w:line="241" w:lineRule="auto"/>
        <w:rPr>
          <w:sz w:val="20"/>
          <w:szCs w:val="20"/>
          <w:color w:val="auto"/>
        </w:rPr>
      </w:pPr>
      <w:r>
        <w:rPr>
          <w:rFonts w:ascii="Times New Roman" w:cs="Times New Roman" w:eastAsia="Times New Roman" w:hAnsi="Times New Roman"/>
          <w:sz w:val="14"/>
          <w:szCs w:val="14"/>
          <w:b w:val="1"/>
          <w:bCs w:val="1"/>
          <w:color w:val="auto"/>
        </w:rPr>
        <w:t xml:space="preserve">REGISTERED FOREIGN LAWYERS: </w:t>
      </w:r>
      <w:r>
        <w:rPr>
          <w:rFonts w:ascii="Times New Roman" w:cs="Times New Roman" w:eastAsia="Times New Roman" w:hAnsi="Times New Roman"/>
          <w:sz w:val="14"/>
          <w:szCs w:val="14"/>
          <w:color w:val="auto"/>
        </w:rPr>
        <w:t>John Curran</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Ming Kong</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Cori A. Lable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Nicholas Tianchia Liew</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Min Lu</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Brandon M. Ovington</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Joshua J. Payne</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Bo Peng</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Shinong Wang</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 xml:space="preserve"> | Anthony Wijaya</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4"/>
          <w:szCs w:val="14"/>
          <w:color w:val="auto"/>
        </w:rPr>
        <w:t xml:space="preserve"> | Jodi K. Wu</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4"/>
          <w:szCs w:val="14"/>
          <w:color w:val="auto"/>
        </w:rPr>
        <w:t xml:space="preserve"> | Yiting Wu</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4"/>
          <w:szCs w:val="14"/>
          <w:color w:val="auto"/>
        </w:rPr>
        <w:t xml:space="preserve"> | David Zhang</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 xml:space="preserve"> | Xiang Zhou</w:t>
      </w:r>
      <w:r>
        <w:rPr>
          <w:rFonts w:ascii="Times New Roman" w:cs="Times New Roman" w:eastAsia="Times New Roman" w:hAnsi="Times New Roman"/>
          <w:sz w:val="23"/>
          <w:szCs w:val="23"/>
          <w:color w:val="auto"/>
          <w:vertAlign w:val="superscript"/>
        </w:rPr>
        <w:t>3</w:t>
      </w:r>
    </w:p>
    <w:p>
      <w:pPr>
        <w:spacing w:after="0" w:line="227" w:lineRule="auto"/>
        <w:rPr>
          <w:sz w:val="20"/>
          <w:szCs w:val="20"/>
          <w:color w:val="auto"/>
        </w:rPr>
      </w:pPr>
      <w:r>
        <w:rPr>
          <w:rFonts w:ascii="Times New Roman" w:cs="Times New Roman" w:eastAsia="Times New Roman" w:hAnsi="Times New Roman"/>
          <w:sz w:val="14"/>
          <w:szCs w:val="14"/>
          <w:b w:val="1"/>
          <w:bCs w:val="1"/>
          <w:color w:val="auto"/>
        </w:rPr>
        <w:t xml:space="preserve">ADMITTED IN: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 of Illinois (U.S.A.);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Commonwealth of Massachusetts (U.S.A.);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 of New York (U.S.A.);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 of Wisconsin (U.S.A.);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England and Wales;</w:t>
      </w:r>
    </w:p>
    <w:p>
      <w:pPr>
        <w:ind w:left="100" w:hanging="92"/>
        <w:spacing w:after="0"/>
        <w:tabs>
          <w:tab w:leader="none" w:pos="100" w:val="left"/>
        </w:tabs>
        <w:numPr>
          <w:ilvl w:val="0"/>
          <w:numId w:val="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 xml:space="preserve">Victoria (Australia); </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New South Wales (Australia); </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4"/>
          <w:szCs w:val="14"/>
          <w:color w:val="auto"/>
        </w:rPr>
        <w:t xml:space="preserve"> State of Georgia (U.S.A.); </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4"/>
          <w:szCs w:val="14"/>
          <w:color w:val="auto"/>
        </w:rPr>
        <w:t xml:space="preserve"> State of California (U.S.A.); </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4"/>
          <w:szCs w:val="14"/>
          <w:color w:val="auto"/>
        </w:rPr>
        <w:t xml:space="preserve"> Singapore; </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4"/>
          <w:szCs w:val="14"/>
          <w:color w:val="auto"/>
        </w:rPr>
        <w:t xml:space="preserve"> New Zealand; </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4"/>
          <w:szCs w:val="14"/>
          <w:color w:val="auto"/>
        </w:rPr>
        <w:t xml:space="preserve"> State of Washington (U.S.A);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non-resident</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Austin   Bay Area   Beijing   Boston   Brussels   Chicago   Dallas   Houston   London   Los Angeles   Miami   Munich   New York   Paris   Salt Lake City   Shanghai   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 w:name="page2"/>
    <w:bookmarkEnd w:id="1"/>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586105</wp:posOffset>
            </wp:positionV>
            <wp:extent cx="1903095" cy="231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03095" cy="2311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Besides adding and revising disclosure in response to the Staff's comments, the Company has also included (i) its consolidated financial statements as of and for the year ended December 31, 2023, and (ii) other information and data to reflect recent developments.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concurrently with the Registration Statement, filing the draft registration statement and all amendments thereto that were previously submitted for the non-public review of the Staff. The Company plans to file an amendment to the Registration Statement containing the estimated price range and offering size, and to launch the road show no earlier than 15 days after the date hereof. As such, the Company would greatly appreciate the Staff’s continuing assistance and support in meeting the proposed timetable.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Comments in Letter Dated December 19,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5 to Draft Registration Statement on Form F-1 filed November 29,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221" w:lineRule="exact"/>
        <w:rPr>
          <w:sz w:val="20"/>
          <w:szCs w:val="20"/>
          <w:color w:val="auto"/>
        </w:rPr>
      </w:pPr>
    </w:p>
    <w:p>
      <w:pPr>
        <w:jc w:val="both"/>
        <w:ind w:left="660" w:hanging="652"/>
        <w:spacing w:after="0" w:line="25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response to comment 1. Please revise to state that investors may never hold equity interests in the Chinese operating company and remove any statements representing that investors in the company's ADSs are obtaining indirect ownership interests in the Chinese operating company. Revise your disclosure to state that your structure involves unique risks to investors. Disclose that Chinese regulatory authorities could disallow your structure which in turn, would likely result in a material change in your operations or the value of your securities, including that it could cause the value of such securities to significantly decline or become worthless.</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added the requested disclosure on the cover page of the Registration Statement.</w:t>
      </w:r>
    </w:p>
    <w:p>
      <w:pPr>
        <w:spacing w:after="0" w:line="221"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comment 2. Please disclose, as you state in your response letter, that regulatory actions related to data security or anti-monopoly concerns in Hong Kong will impact your ability to conduct business, accept foreign investment or list on a foreign exchange.</w:t>
      </w:r>
    </w:p>
    <w:p>
      <w:pPr>
        <w:spacing w:after="0" w:line="17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the cover page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586105</wp:posOffset>
            </wp:positionV>
            <wp:extent cx="1903095" cy="231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03095" cy="2311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Prospectus Summary, page 1</w:t>
      </w:r>
    </w:p>
    <w:p>
      <w:pPr>
        <w:spacing w:after="0" w:line="221" w:lineRule="exact"/>
        <w:rPr>
          <w:sz w:val="20"/>
          <w:szCs w:val="20"/>
          <w:color w:val="auto"/>
        </w:rPr>
      </w:pPr>
    </w:p>
    <w:p>
      <w:pPr>
        <w:jc w:val="both"/>
        <w:ind w:left="660" w:hanging="652"/>
        <w:spacing w:after="0" w:line="262"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comment 5 and reissue it in part. Please revise the first bullet under the section captioned "Risks Related to Doing Business in China" in your summary of risk factors to state that Chinese regulatory authorities could disallow your structure, which would likely result in a material change in your operations or the value of your securities, including that it could cause the value of such securities to significantly decline or become worthless. Please make corresponding changes to the relevant risk factor.</w:t>
      </w:r>
    </w:p>
    <w:p>
      <w:pPr>
        <w:spacing w:after="0" w:line="180"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the cover page, pages 4 and 41 of the Registration Statement.</w:t>
      </w:r>
    </w:p>
    <w:p>
      <w:pPr>
        <w:spacing w:after="0" w:line="157" w:lineRule="exact"/>
        <w:rPr>
          <w:rFonts w:ascii="Times New Roman" w:cs="Times New Roman" w:eastAsia="Times New Roman" w:hAnsi="Times New Roman"/>
          <w:sz w:val="18"/>
          <w:szCs w:val="18"/>
          <w:b w:val="1"/>
          <w:bCs w:val="1"/>
          <w:color w:val="auto"/>
        </w:rPr>
      </w:pPr>
    </w:p>
    <w:p>
      <w:pPr>
        <w:jc w:val="both"/>
        <w:ind w:left="660" w:hanging="652"/>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response to comment 7 and reissue it in part. Please revise your definition of China on page 16 to clarify that the legal risks associated with operating in China also apply to your presence in Hong Kong. In this regard, we note that, although you do not have any business operations in Hong Kong, the presence of both ESVF (Hong Kong) Esports Limited and Mr. Mario Yau Kwan in Hong Kong nevertheless exposes the company to legal risks in Hong Kong. In addition, we note your statement that "in the event that we decide to operate in Hong Kong and if mainland China regulations are applied in Hong Kong in the future, the legal and operational risks associated with having operations in mainland China would also apply to our operations in Hong Kong"; please revise to clarify that mainland China could apply its regulations at any time and with no advance notice.</w:t>
      </w:r>
    </w:p>
    <w:p>
      <w:pPr>
        <w:spacing w:after="0" w:line="186"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revised the disclosure on the cover page and page 3 of the Registration Statement to clarify that the legal risks associated with operating in China could apply to the Company’s presence in Hong Kong.</w:t>
      </w:r>
    </w:p>
    <w:p>
      <w:pPr>
        <w:spacing w:after="0" w:line="161" w:lineRule="exact"/>
        <w:rPr>
          <w:rFonts w:ascii="Times New Roman" w:cs="Times New Roman" w:eastAsia="Times New Roman" w:hAnsi="Times New Roman"/>
          <w:sz w:val="18"/>
          <w:szCs w:val="18"/>
          <w:color w:val="auto"/>
        </w:rPr>
      </w:pPr>
    </w:p>
    <w:p>
      <w:pPr>
        <w:ind w:left="5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586105</wp:posOffset>
            </wp:positionV>
            <wp:extent cx="190309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03095" cy="2311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Registration Statement, please contact Steve Lin at steve.lin@kirkland.com, +86 10 5737 9315 (work) or + 86 186 1049 5593 (cell).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time and attention.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 Lin</w:t>
      </w:r>
    </w:p>
    <w:p>
      <w:pPr>
        <w:spacing w:after="0" w:line="220" w:lineRule="exact"/>
        <w:rPr>
          <w:sz w:val="20"/>
          <w:szCs w:val="20"/>
          <w:color w:val="auto"/>
        </w:rPr>
      </w:pPr>
    </w:p>
    <w:p>
      <w:pPr>
        <w:ind w:left="580" w:right="5880" w:hanging="572"/>
        <w:spacing w:after="0" w:line="261"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Mario Yau Kwan Ho, Co-Chief Executive Officer, NIP Group Inc. Zhiyong Li, Chief Financial Officer, NIP Group Inc.</w:t>
      </w:r>
    </w:p>
    <w:p>
      <w:pPr>
        <w:ind w:left="580" w:right="55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Yuting Wu, Esq., Partner, Skadden, Arps, Slate, Meagher &amp; Flom LLP Charles Yin, Senior Partner, Marcum Asia CPAs,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6"/>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lvl w:ilvl="1">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2024-08-23T23:17:06Z</dcterms:created>
  <dcterms:modified xsi:type="dcterms:W3CDTF">2024-08-23T23:17:06Z</dcterms:modified>
</cp:coreProperties>
</file>