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bidi w:val="0"/>
        <w:spacing w:before="0" w:after="0"/>
        <w:ind w:left="0" w:right="0" w:hanging="0"/>
        <w:jc w:val="center"/>
        <w:rPr>
          <w:caps w:val="false"/>
          <w:smallCaps w:val="false"/>
        </w:rPr>
      </w:pPr>
      <w:bookmarkStart w:id="0" w:name="form6-k.htm"/>
      <w:bookmarkStart w:id="1" w:name="ksform6k"/>
      <w:bookmarkEnd w:id="0"/>
      <w:bookmarkEnd w:id="1"/>
      <w:r>
        <w:rPr>
          <w:caps w:val="false"/>
          <w:smallCaps w:val="false"/>
        </w:rPr>
        <w:t> </w:t>
      </w:r>
    </w:p>
    <w:p>
      <w:pPr>
        <w:pStyle w:val="TextBody"/>
        <w:bidi w:val="0"/>
        <w:ind w:left="0" w:right="0" w:hanging="0"/>
        <w:jc w:val="left"/>
        <w:rPr>
          <w:caps w:val="false"/>
          <w:smallCaps w:val="false"/>
          <w:bdr w:val="single" w:sz="32" w:space="1" w:color="000000"/>
        </w:rPr>
      </w:pPr>
      <w:r>
        <w:rPr>
          <w:caps w:val="false"/>
          <w:smallCaps w:val="false"/>
          <w:bdr w:val="single" w:sz="32" w:space="1" w:color="000000"/>
        </w:rPr>
        <w:t> </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pBdr/>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pBdr/>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6-K</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 UNDER</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SECURITIES EXCHANGE ACT OF 1934</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September 2026</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001-42160</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NIP Group Inc.</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Rosenlundsgatan 31</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11 863 Stockholm</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Sweden</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+46 8133700</w:t>
      </w:r>
    </w:p>
    <w:p>
      <w:pPr>
        <w:pStyle w:val="TextBody"/>
        <w:pBd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pBdr/>
        <w:bidi w:val="0"/>
        <w:spacing w:before="0" w:after="0"/>
        <w:ind w:left="0" w:right="0" w:hanging="0"/>
        <w:jc w:val="both"/>
        <w:rPr>
          <w:caps w:val="false"/>
          <w:smallCaps w:val="false"/>
        </w:rPr>
      </w:pPr>
      <w:r>
        <w:rPr>
          <w:caps w:val="false"/>
          <w:smallCaps w:val="false"/>
        </w:rPr>
        <w:t> </w:t>
      </w:r>
    </w:p>
    <w:tbl>
      <w:tblPr>
        <w:tblW w:w="2485" w:type="dxa"/>
        <w:jc w:val="left"/>
        <w:tblInd w:w="0" w:type="dxa"/>
        <w:tblLayout w:type="fixed"/>
        <w:tblCellMar>
          <w:top w:w="0" w:type="dxa"/>
          <w:left w:w="0" w:type="dxa"/>
          <w:bottom w:w="0" w:type="dxa"/>
          <w:right w:w="0" w:type="dxa"/>
        </w:tblCellMar>
      </w:tblPr>
      <w:tblGrid>
        <w:gridCol w:w="1100"/>
        <w:gridCol w:w="60"/>
        <w:gridCol w:w="1325"/>
      </w:tblGrid>
      <w:tr>
        <w:trPr/>
        <w:tc>
          <w:tcPr>
            <w:tcW w:w="110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Form 20-F ☒</w:t>
            </w:r>
          </w:p>
        </w:tc>
        <w:tc>
          <w:tcPr>
            <w:tcW w:w="6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Form 40-F ☐</w:t>
            </w:r>
          </w:p>
        </w:tc>
      </w:tr>
    </w:tbl>
    <w:p>
      <w:pPr>
        <w:pStyle w:val="TextBody"/>
        <w:pBdr/>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caps w:val="false"/>
          <w:smallCaps w:val="false"/>
          <w:bdr w:val="single" w:sz="8" w:space="1" w:color="000000"/>
        </w:rPr>
      </w:pPr>
      <w:r>
        <w:rPr>
          <w:caps w:val="false"/>
          <w:smallCaps w:val="false"/>
          <w:bdr w:val="single" w:sz="8" w:space="1" w:color="000000"/>
        </w:rPr>
        <w:t> </w:t>
      </w:r>
    </w:p>
    <w:p>
      <w:pPr>
        <w:pStyle w:val="TextBody"/>
        <w:pBdr/>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Change of Chief Financial Officer</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Today we are announcing that, Mr. Zhiyong Li is stepping down as the Chief Financial Officer of NIP Group Inc. (the “Company”) effective as of August 31, 2026. The departure of Mr. Li has been planned with a smooth transition of his job responsibilities over a prolonged period. The change is part of the Company’s establishment of its global headquarters in Abu Dhabi, following the landmark agreement between the Company and Abu Dhabi Investment Office (ADIO). The Company is already in the process of hiring Mr. Li’s replacement and new global chief financial officer.</w:t>
      </w:r>
    </w:p>
    <w:p>
      <w:pPr>
        <w:pStyle w:val="TextBody"/>
        <w:pBdr/>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pBdr/>
        <w:bidi w:val="0"/>
        <w:spacing w:before="0" w:after="0"/>
        <w:ind w:left="0" w:right="0" w:hanging="0"/>
        <w:jc w:val="left"/>
        <w:rPr>
          <w:caps w:val="false"/>
          <w:smallCaps w:val="false"/>
        </w:rPr>
      </w:pPr>
      <w:r>
        <w:rPr>
          <w:caps w:val="false"/>
          <w:smallCaps w:val="false"/>
        </w:rPr>
        <w:t> </w:t>
      </w:r>
    </w:p>
    <w:tbl>
      <w:tblPr>
        <w:tblW w:w="4830" w:type="dxa"/>
        <w:jc w:val="left"/>
        <w:tblInd w:w="0" w:type="dxa"/>
        <w:tblLayout w:type="fixed"/>
        <w:tblCellMar>
          <w:top w:w="0" w:type="dxa"/>
          <w:left w:w="0" w:type="dxa"/>
          <w:bottom w:w="0" w:type="dxa"/>
          <w:right w:w="0" w:type="dxa"/>
        </w:tblCellMar>
      </w:tblPr>
      <w:tblGrid>
        <w:gridCol w:w="2030"/>
        <w:gridCol w:w="545"/>
        <w:gridCol w:w="2255"/>
      </w:tblGrid>
      <w:tr>
        <w:trPr/>
        <w:tc>
          <w:tcPr>
            <w:tcW w:w="2030" w:type="dxa"/>
            <w:tcBorders/>
            <w:vAlign w:val="center"/>
          </w:tcPr>
          <w:p>
            <w:pPr>
              <w:pStyle w:val="TableContents"/>
              <w:bidi w:val="0"/>
              <w:spacing w:before="0" w:after="283"/>
              <w:jc w:val="left"/>
              <w:rPr>
                <w:caps w:val="false"/>
                <w:smallCaps w:val="false"/>
              </w:rPr>
            </w:pPr>
            <w:r>
              <w:rPr>
                <w:caps w:val="false"/>
                <w:smallCaps w:val="false"/>
              </w:rPr>
              <w:t> </w:t>
            </w:r>
          </w:p>
        </w:tc>
        <w:tc>
          <w:tcPr>
            <w:tcW w:w="2800"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NIP Group Inc.</w:t>
            </w:r>
          </w:p>
        </w:tc>
      </w:tr>
      <w:tr>
        <w:trPr/>
        <w:tc>
          <w:tcPr>
            <w:tcW w:w="2030" w:type="dxa"/>
            <w:tcBorders/>
            <w:vAlign w:val="center"/>
          </w:tcPr>
          <w:p>
            <w:pPr>
              <w:pStyle w:val="TableContents"/>
              <w:bidi w:val="0"/>
              <w:spacing w:before="0" w:after="283"/>
              <w:jc w:val="left"/>
              <w:rPr>
                <w:caps w:val="false"/>
                <w:smallCaps w:val="false"/>
              </w:rPr>
            </w:pPr>
            <w:r>
              <w:rPr>
                <w:caps w:val="false"/>
                <w:smallCaps w:val="false"/>
              </w:rPr>
              <w:t> </w:t>
            </w:r>
          </w:p>
        </w:tc>
        <w:tc>
          <w:tcPr>
            <w:tcW w:w="2800"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2030"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25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Mario Yau Kwan Ho</w:t>
            </w:r>
          </w:p>
        </w:tc>
      </w:tr>
      <w:tr>
        <w:trPr/>
        <w:tc>
          <w:tcPr>
            <w:tcW w:w="2030"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22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Mario Yau Kwan Ho</w:t>
            </w:r>
          </w:p>
        </w:tc>
      </w:tr>
      <w:tr>
        <w:trPr/>
        <w:tc>
          <w:tcPr>
            <w:tcW w:w="2030"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2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Co-Chief Executive Officer</w:t>
            </w:r>
          </w:p>
        </w:tc>
      </w:tr>
      <w:tr>
        <w:trPr/>
        <w:tc>
          <w:tcPr>
            <w:tcW w:w="2030"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caps w:val="false"/>
                <w:smallCaps w:val="false"/>
              </w:rPr>
            </w:pPr>
            <w:r>
              <w:rPr>
                <w:caps w:val="false"/>
                <w:smallCaps w:val="false"/>
              </w:rPr>
              <w:t> </w:t>
            </w:r>
          </w:p>
        </w:tc>
        <w:tc>
          <w:tcPr>
            <w:tcW w:w="225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030"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25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Hicham Chahine</w:t>
            </w:r>
          </w:p>
        </w:tc>
      </w:tr>
      <w:tr>
        <w:trPr/>
        <w:tc>
          <w:tcPr>
            <w:tcW w:w="2030"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22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Hicham Chahine</w:t>
            </w:r>
          </w:p>
        </w:tc>
      </w:tr>
      <w:tr>
        <w:trPr/>
        <w:tc>
          <w:tcPr>
            <w:tcW w:w="2030"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2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Co-Chief Executive Officer</w:t>
            </w:r>
          </w:p>
        </w:tc>
      </w:tr>
      <w:tr>
        <w:trPr/>
        <w:tc>
          <w:tcPr>
            <w:tcW w:w="2030"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caps w:val="false"/>
                <w:smallCaps w:val="false"/>
              </w:rPr>
            </w:pPr>
            <w:r>
              <w:rPr>
                <w:caps w:val="false"/>
                <w:smallCaps w:val="false"/>
              </w:rPr>
              <w:t> </w:t>
            </w:r>
          </w:p>
        </w:tc>
        <w:tc>
          <w:tcPr>
            <w:tcW w:w="225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0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September 4, 2026</w:t>
            </w:r>
          </w:p>
        </w:tc>
        <w:tc>
          <w:tcPr>
            <w:tcW w:w="545" w:type="dxa"/>
            <w:tcBorders/>
            <w:vAlign w:val="center"/>
          </w:tcPr>
          <w:p>
            <w:pPr>
              <w:pStyle w:val="TableContents"/>
              <w:bidi w:val="0"/>
              <w:spacing w:before="0" w:after="283"/>
              <w:jc w:val="left"/>
              <w:rPr>
                <w:caps w:val="false"/>
                <w:smallCaps w:val="false"/>
              </w:rPr>
            </w:pPr>
            <w:r>
              <w:rPr>
                <w:caps w:val="false"/>
                <w:smallCaps w:val="false"/>
              </w:rPr>
              <w:t> </w:t>
            </w:r>
          </w:p>
        </w:tc>
        <w:tc>
          <w:tcPr>
            <w:tcW w:w="225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pBdr/>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245</Words>
  <Characters>1268</Characters>
  <CharactersWithSpaces>1525</CharactersWithSpaces>
  <Paragraphs>83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