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15, 2026</w:t>
            </w:r>
          </w:p>
        </w:tc>
        <w:tc>
          <w:tcPr>
            <w:tcW w:w="29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Registration No. 333-280716</w:t>
            </w:r>
          </w:p>
        </w:tc>
      </w:tr>
      <w:tr>
        <w:trPr>
          <w:trHeight w:val="250"/>
        </w:trPr>
        <w:tc>
          <w:tcPr>
            <w:tcW w:w="83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r>
      <w:tr>
        <w:trPr>
          <w:trHeight w:val="410"/>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920" w:type="dxa"/>
            <w:vAlign w:val="bottom"/>
          </w:tcPr>
          <w:p>
            <w:pPr>
              <w:spacing w:after="0"/>
              <w:rPr>
                <w:sz w:val="24"/>
                <w:szCs w:val="24"/>
                <w:color w:val="auto"/>
              </w:rPr>
            </w:pPr>
          </w:p>
        </w:tc>
      </w:tr>
      <w:tr>
        <w:trPr>
          <w:trHeight w:val="216"/>
        </w:trPr>
        <w:tc>
          <w:tcPr>
            <w:tcW w:w="83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20" w:type="dxa"/>
            <w:vAlign w:val="bottom"/>
          </w:tcPr>
          <w:p>
            <w:pPr>
              <w:spacing w:after="0"/>
              <w:rPr>
                <w:sz w:val="18"/>
                <w:szCs w:val="18"/>
                <w:color w:val="auto"/>
              </w:rPr>
            </w:pPr>
          </w:p>
        </w:tc>
      </w:tr>
      <w:tr>
        <w:trPr>
          <w:trHeight w:val="238"/>
        </w:trPr>
        <w:tc>
          <w:tcPr>
            <w:tcW w:w="83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2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 EFFECTIVE AMENDMENT NO. 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60" w:type="dxa"/>
            <w:vAlign w:val="bottom"/>
            <w:gridSpan w:val="3"/>
            <w:vMerge w:val="restart"/>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Steve Lin, Esq.</w:t>
            </w:r>
          </w:p>
        </w:tc>
        <w:tc>
          <w:tcPr>
            <w:tcW w:w="1520" w:type="dxa"/>
            <w:vAlign w:val="bottom"/>
          </w:tcPr>
          <w:p>
            <w:pPr>
              <w:spacing w:after="0"/>
              <w:rPr>
                <w:sz w:val="20"/>
                <w:szCs w:val="20"/>
                <w:color w:val="auto"/>
              </w:rPr>
            </w:pPr>
          </w:p>
        </w:tc>
        <w:tc>
          <w:tcPr>
            <w:tcW w:w="230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color w:val="auto"/>
              </w:rPr>
              <w:t>Copies to:</w:t>
            </w:r>
          </w:p>
        </w:tc>
        <w:tc>
          <w:tcPr>
            <w:tcW w:w="3780" w:type="dxa"/>
            <w:vAlign w:val="bottom"/>
            <w:gridSpan w:val="3"/>
            <w:vMerge w:val="restart"/>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Herman H. Raspé, Esq.</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60" w:type="dxa"/>
            <w:vAlign w:val="bottom"/>
            <w:gridSpan w:val="3"/>
            <w:vMerge w:val="continue"/>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Han Kun Law Offices LLP</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8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80" w:type="dxa"/>
            <w:vAlign w:val="bottom"/>
            <w:gridSpan w:val="4"/>
          </w:tcPr>
          <w:p>
            <w:pPr>
              <w:jc w:val="center"/>
              <w:ind w:right="887"/>
              <w:spacing w:after="0"/>
              <w:rPr>
                <w:sz w:val="20"/>
                <w:szCs w:val="20"/>
                <w:color w:val="auto"/>
              </w:rPr>
            </w:pPr>
            <w:r>
              <w:rPr>
                <w:rFonts w:ascii="Times New Roman" w:cs="Times New Roman" w:eastAsia="Times New Roman" w:hAnsi="Times New Roman"/>
                <w:sz w:val="18"/>
                <w:szCs w:val="18"/>
                <w:b w:val="1"/>
                <w:bCs w:val="1"/>
                <w:color w:val="auto"/>
                <w:w w:val="98"/>
              </w:rPr>
              <w:t>Rooms 4301-10, 43/F., Gloucester Tower</w:t>
            </w: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8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The Landmark</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8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1133 Avenue of the Americas</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15 Queen’s Road Central</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8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(212) 336-2000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4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+852 2820 5600</w:t>
            </w:r>
          </w:p>
        </w:tc>
        <w:tc>
          <w:tcPr>
            <w:tcW w:w="5720" w:type="dxa"/>
            <w:vAlign w:val="bottom"/>
            <w:gridSpan w:val="4"/>
            <w:vMerge w:val="restart"/>
          </w:tcPr>
          <w:p>
            <w:pPr>
              <w:jc w:val="right"/>
              <w:ind w:right="1790"/>
              <w:spacing w:after="0"/>
              <w:rPr>
                <w:sz w:val="20"/>
                <w:szCs w:val="20"/>
                <w:color w:val="auto"/>
              </w:rPr>
            </w:pPr>
            <w:r>
              <w:rPr>
                <w:rFonts w:ascii="Times New Roman" w:cs="Times New Roman" w:eastAsia="Times New Roman" w:hAnsi="Times New Roman"/>
                <w:sz w:val="22"/>
                <w:szCs w:val="22"/>
                <w:color w:val="auto"/>
              </w:rPr>
              <w:t>__________________________________</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720" w:type="dxa"/>
            <w:vAlign w:val="bottom"/>
            <w:gridSpan w:val="4"/>
            <w:vMerge w:val="continue"/>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5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0" w:type="dxa"/>
            <w:vAlign w:val="bottom"/>
          </w:tcPr>
          <w:p>
            <w:pPr>
              <w:spacing w:after="0"/>
              <w:rPr>
                <w:sz w:val="24"/>
                <w:szCs w:val="24"/>
                <w:color w:val="auto"/>
              </w:rPr>
            </w:pPr>
          </w:p>
        </w:tc>
        <w:tc>
          <w:tcPr>
            <w:tcW w:w="406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600" w:type="dxa"/>
            <w:vAlign w:val="bottom"/>
            <w:gridSpan w:val="10"/>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 </w:t>
            </w: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20" w:type="dxa"/>
            <w:vAlign w:val="bottom"/>
            <w:gridSpan w:val="3"/>
          </w:tcPr>
          <w:p>
            <w:pPr>
              <w:jc w:val="center"/>
              <w:ind w:left="107"/>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3"/>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60" w:type="dxa"/>
            <w:vAlign w:val="bottom"/>
            <w:tcBorders>
              <w:right w:val="single" w:sz="8" w:color="auto"/>
            </w:tcBorders>
            <w:gridSpan w:val="3"/>
          </w:tcPr>
          <w:p>
            <w:pPr>
              <w:jc w:val="center"/>
              <w:ind w:right="80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520" w:type="dxa"/>
            <w:vAlign w:val="bottom"/>
          </w:tcPr>
          <w:p>
            <w:pPr>
              <w:jc w:val="center"/>
              <w:ind w:left="267"/>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3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40" w:type="dxa"/>
            <w:vAlign w:val="bottom"/>
          </w:tcPr>
          <w:p>
            <w:pPr>
              <w:spacing w:after="0"/>
              <w:rPr>
                <w:sz w:val="16"/>
                <w:szCs w:val="16"/>
                <w:color w:val="auto"/>
              </w:rPr>
            </w:pPr>
          </w:p>
        </w:tc>
        <w:tc>
          <w:tcPr>
            <w:tcW w:w="16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tcBorders>
              <w:right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520" w:type="dxa"/>
            <w:vAlign w:val="bottom"/>
          </w:tcPr>
          <w:p>
            <w:pPr>
              <w:jc w:val="center"/>
              <w:ind w:left="267"/>
              <w:spacing w:after="0"/>
              <w:rPr>
                <w:sz w:val="20"/>
                <w:szCs w:val="20"/>
                <w:color w:val="auto"/>
              </w:rPr>
            </w:pPr>
            <w:r>
              <w:rPr>
                <w:rFonts w:ascii="Times New Roman" w:cs="Times New Roman" w:eastAsia="Times New Roman" w:hAnsi="Times New Roman"/>
                <w:sz w:val="18"/>
                <w:szCs w:val="18"/>
                <w:color w:val="auto"/>
                <w:w w:val="98"/>
              </w:rPr>
              <w:t>Registered</w:t>
            </w:r>
          </w:p>
        </w:tc>
        <w:tc>
          <w:tcPr>
            <w:tcW w:w="3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Price Per</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240" w:type="dxa"/>
            <w:vAlign w:val="bottom"/>
          </w:tcPr>
          <w:p>
            <w:pPr>
              <w:spacing w:after="0"/>
              <w:rPr>
                <w:sz w:val="18"/>
                <w:szCs w:val="18"/>
                <w:color w:val="auto"/>
              </w:rPr>
            </w:pPr>
          </w:p>
        </w:tc>
        <w:tc>
          <w:tcPr>
            <w:tcW w:w="1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w:t>
            </w:r>
          </w:p>
        </w:tc>
        <w:tc>
          <w:tcPr>
            <w:tcW w:w="15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ADS representing the right to receive sixty (60)</w:t>
            </w:r>
          </w:p>
        </w:tc>
        <w:tc>
          <w:tcPr>
            <w:tcW w:w="1520" w:type="dxa"/>
            <w:vAlign w:val="bottom"/>
            <w:vMerge w:val="restart"/>
          </w:tcPr>
          <w:p>
            <w:pPr>
              <w:jc w:val="center"/>
              <w:ind w:left="267"/>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8"/>
                <w:szCs w:val="18"/>
                <w:color w:val="auto"/>
              </w:rPr>
            </w:pPr>
          </w:p>
        </w:tc>
        <w:tc>
          <w:tcPr>
            <w:tcW w:w="16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6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Class A ordinary shares of NIP Group Inc. (the</w:t>
            </w:r>
          </w:p>
        </w:tc>
        <w:tc>
          <w:tcPr>
            <w:tcW w:w="1520" w:type="dxa"/>
            <w:vAlign w:val="bottom"/>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40" w:type="dxa"/>
            <w:vAlign w:val="bottom"/>
            <w:tcBorders>
              <w:right w:val="single" w:sz="8" w:color="auto"/>
            </w:tcBorders>
            <w:gridSpan w:val="5"/>
            <w:vMerge w:val="continue"/>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“Company”)</w:t>
            </w:r>
          </w:p>
        </w:tc>
        <w:tc>
          <w:tcPr>
            <w:tcW w:w="15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Each unit represents 100 ADSs.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0" w:right="280" w:hanging="272"/>
        <w:spacing w:after="0" w:line="258" w:lineRule="auto"/>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40"/>
          </w:cols>
          <w:pgMar w:left="320" w:top="468" w:right="339" w:bottom="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Registrant hereby amends this Post-Effective Amendment No. 1 to Registration Statement on such date or dates as may be necessary to delay its effective date until the Registrant shall file a further amendment which specifically states that this Post-Effective Amendment No. 1 to Registration Statement shall thereafter become effective in accordance with Section 8(a) of the Securities Act of 1933, or until this Post-Effective Amendment No. 1 to Registration Statement shall become effective on such date as the Commission, acting pursuant to said Section 8(a), may determine.</w:t>
      </w:r>
    </w:p>
    <w:p>
      <w:pPr>
        <w:spacing w:after="0" w:line="28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600" w:top="563" w:right="37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Registration Statement on Form F-6 may be executed in any number of counterparts, each of which shall be deemed an original, and all of such counterparts together shall constitute one and the same instrument.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0760"/>
          </w:cols>
          <w:pgMar w:left="320" w:top="792" w:right="81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56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("ADSs")</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4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7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(17).</w:t>
      </w:r>
    </w:p>
    <w:p>
      <w:pPr>
        <w:spacing w:after="0" w:line="207"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620" w:space="580"/>
            <w:col w:w="4560"/>
          </w:cols>
          <w:pgMar w:left="320" w:top="792" w:right="819" w:bottom="1440" w:gutter="0" w:footer="0" w:header="0"/>
          <w:type w:val="continuous"/>
        </w:sectPr>
      </w:pPr>
    </w:p>
    <w:p>
      <w:pPr>
        <w:spacing w:after="0" w:line="8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 xml:space="preserve">The Prospectus consists of the proposed form of American Depositary Receipt included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Form of Amendment No. 1 to Deposit Agreement filed as Exhibit (a)(i) to this Post-Effective Amendment No. 1 to Registration Statement on Form F-6 and is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40" w:type="dxa"/>
            <w:vAlign w:val="bottom"/>
            <w:gridSpan w:val="3"/>
          </w:tcPr>
          <w:p>
            <w:pPr>
              <w:jc w:val="center"/>
              <w:ind w:right="4880"/>
              <w:spacing w:after="0"/>
              <w:rPr>
                <w:sz w:val="20"/>
                <w:szCs w:val="20"/>
                <w:color w:val="auto"/>
              </w:rPr>
            </w:pPr>
            <w:r>
              <w:rPr>
                <w:rFonts w:ascii="Times New Roman" w:cs="Times New Roman" w:eastAsia="Times New Roman" w:hAnsi="Times New Roman"/>
                <w:sz w:val="18"/>
                <w:szCs w:val="18"/>
                <w:b w:val="1"/>
                <w:bCs w:val="1"/>
                <w:color w:val="auto"/>
                <w:w w:val="97"/>
              </w:rPr>
              <w:t>PART II</w:t>
            </w:r>
          </w:p>
        </w:tc>
      </w:tr>
      <w:tr>
        <w:trPr>
          <w:trHeight w:val="432"/>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740" w:type="dxa"/>
            <w:vAlign w:val="bottom"/>
            <w:gridSpan w:val="4"/>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40" w:type="dxa"/>
            <w:vAlign w:val="bottom"/>
          </w:tcPr>
          <w:p>
            <w:pPr>
              <w:spacing w:after="0"/>
              <w:rPr>
                <w:sz w:val="24"/>
                <w:szCs w:val="24"/>
                <w:color w:val="auto"/>
              </w:rPr>
            </w:pPr>
          </w:p>
        </w:tc>
        <w:tc>
          <w:tcPr>
            <w:tcW w:w="104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106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Form of Amendment No. 1 to Deposit Agreement, by and among NIP Group Inc. (the “Company”), Citibank, N.A., as depositary (the</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10620" w:type="dxa"/>
            <w:vAlign w:val="bottom"/>
            <w:gridSpan w:val="7"/>
          </w:tcPr>
          <w:p>
            <w:pPr>
              <w:ind w:left="60"/>
              <w:spacing w:after="0" w:line="236" w:lineRule="exact"/>
              <w:rPr>
                <w:sz w:val="20"/>
                <w:szCs w:val="20"/>
                <w:color w:val="auto"/>
              </w:rPr>
            </w:pPr>
            <w:r>
              <w:rPr>
                <w:rFonts w:ascii="Times New Roman" w:cs="Times New Roman" w:eastAsia="Times New Roman" w:hAnsi="Times New Roman"/>
                <w:sz w:val="17"/>
                <w:szCs w:val="17"/>
                <w:color w:val="auto"/>
              </w:rPr>
              <w:t xml:space="preserve">“Depositary”), and all Holders and Beneficial Owners of American Depositary Shares issued thereunder. </w:t>
            </w:r>
            <w:r>
              <w:rPr>
                <w:rFonts w:ascii="Times New Roman" w:cs="Times New Roman" w:eastAsia="Times New Roman" w:hAnsi="Times New Roman"/>
                <w:sz w:val="27"/>
                <w:szCs w:val="27"/>
                <w:color w:val="auto"/>
                <w:vertAlign w:val="superscript"/>
              </w:rPr>
              <w:t>___</w:t>
            </w:r>
            <w:r>
              <w:rPr>
                <w:rFonts w:ascii="Times New Roman" w:cs="Times New Roman" w:eastAsia="Times New Roman" w:hAnsi="Times New Roman"/>
                <w:sz w:val="17"/>
                <w:szCs w:val="17"/>
                <w:color w:val="auto"/>
              </w:rPr>
              <w:t xml:space="preserve"> Filed herewith as Exhibit (a)(i).</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r>
      <w:tr>
        <w:trPr>
          <w:trHeight w:val="4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(a)(ii)</w:t>
            </w:r>
          </w:p>
        </w:tc>
        <w:tc>
          <w:tcPr>
            <w:tcW w:w="106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Deposit Agreement, dated as of July 25, 2024, by and among the Company, the Depositary, and all Holders and Beneficial Owners of American</w:t>
            </w:r>
          </w:p>
        </w:tc>
      </w:tr>
      <w:tr>
        <w:trPr>
          <w:trHeight w:val="231"/>
        </w:trPr>
        <w:tc>
          <w:tcPr>
            <w:tcW w:w="620" w:type="dxa"/>
            <w:vAlign w:val="bottom"/>
          </w:tcPr>
          <w:p>
            <w:pPr>
              <w:spacing w:after="0"/>
              <w:rPr>
                <w:sz w:val="20"/>
                <w:szCs w:val="20"/>
                <w:color w:val="auto"/>
              </w:rPr>
            </w:pPr>
          </w:p>
        </w:tc>
        <w:tc>
          <w:tcPr>
            <w:tcW w:w="10620" w:type="dxa"/>
            <w:vAlign w:val="bottom"/>
            <w:gridSpan w:val="7"/>
          </w:tcPr>
          <w:p>
            <w:pPr>
              <w:ind w:left="60"/>
              <w:spacing w:after="0" w:line="231" w:lineRule="exact"/>
              <w:rPr>
                <w:sz w:val="20"/>
                <w:szCs w:val="20"/>
                <w:color w:val="auto"/>
              </w:rPr>
            </w:pPr>
            <w:r>
              <w:rPr>
                <w:rFonts w:ascii="Times New Roman" w:cs="Times New Roman" w:eastAsia="Times New Roman" w:hAnsi="Times New Roman"/>
                <w:sz w:val="16"/>
                <w:szCs w:val="16"/>
                <w:color w:val="auto"/>
              </w:rPr>
              <w:t xml:space="preserve">Depositary Shares issued thereunder (“Deposit Agreement”). </w:t>
            </w:r>
            <w:r>
              <w:rPr>
                <w:rFonts w:ascii="Times New Roman" w:cs="Times New Roman" w:eastAsia="Times New Roman" w:hAnsi="Times New Roman"/>
                <w:sz w:val="26"/>
                <w:szCs w:val="26"/>
                <w:color w:val="auto"/>
                <w:vertAlign w:val="superscript"/>
              </w:rPr>
              <w:t>___</w:t>
            </w:r>
            <w:r>
              <w:rPr>
                <w:rFonts w:ascii="Times New Roman" w:cs="Times New Roman" w:eastAsia="Times New Roman" w:hAnsi="Times New Roman"/>
                <w:sz w:val="16"/>
                <w:szCs w:val="16"/>
                <w:color w:val="auto"/>
              </w:rPr>
              <w:t xml:space="preserve"> Filed herewith as Exhibit (a)(ii).</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80" w:hanging="672"/>
        <w:spacing w:after="0" w:line="29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680" w:right="20" w:hanging="672"/>
        <w:spacing w:after="0" w:line="29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4" w:lineRule="exact"/>
        <w:rPr>
          <w:rFonts w:ascii="Times New Roman" w:cs="Times New Roman" w:eastAsia="Times New Roman" w:hAnsi="Times New Roman"/>
          <w:sz w:val="18"/>
          <w:szCs w:val="18"/>
          <w:color w:val="auto"/>
        </w:rPr>
      </w:pPr>
    </w:p>
    <w:p>
      <w:pPr>
        <w:ind w:left="680" w:right="20" w:hanging="672"/>
        <w:spacing w:after="0" w:line="188" w:lineRule="auto"/>
        <w:tabs>
          <w:tab w:leader="none" w:pos="68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Exhibit (d) to Registration Statement on Form F-6 (File No. 333-280716) with the Commission on July 8, 2024 and incorporated herein by reference.</w:t>
      </w:r>
    </w:p>
    <w:p>
      <w:pPr>
        <w:spacing w:after="0" w:line="182" w:lineRule="exact"/>
        <w:rPr>
          <w:rFonts w:ascii="Times New Roman" w:cs="Times New Roman" w:eastAsia="Times New Roman" w:hAnsi="Times New Roman"/>
          <w:sz w:val="36"/>
          <w:szCs w:val="36"/>
          <w:color w:val="auto"/>
          <w:vertAlign w:val="superscript"/>
        </w:rPr>
      </w:pPr>
    </w:p>
    <w:p>
      <w:pPr>
        <w:ind w:left="680" w:hanging="672"/>
        <w:spacing w:after="0"/>
        <w:tabs>
          <w:tab w:leader="none" w:pos="68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680" w:hanging="672"/>
        <w:spacing w:after="0" w:line="188" w:lineRule="auto"/>
        <w:tabs>
          <w:tab w:leader="none" w:pos="68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580" w:hanging="572"/>
        <w:spacing w:after="0" w:line="26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by and among NIP Group Inc., Citibank, N.A., as depositary, and all Holders and Beneficial Owners of American Depositary Shares to be issued thereunder,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New York, State of New York,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5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American Depositary Shares registered hereunder are to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be issued, each American Depositary Share representing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right to receive sixty (60) Class A ordinary shares of NIP</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Group Inc.</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732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NIP Group Inc. certifies that it has reasonable grounds to believe that all the requirements for filing on Form F-6 are met and has duly caused this Post-Effective Amendment No. 1 to Registration Statement on Form F-6 to be signed on its behalf by the undersigned thereunto duly authorized, in Wuhan, the People’s Republic of China and Stockholm, Sweden, on June 15, 2026.</w:t>
      </w:r>
    </w:p>
    <w:p>
      <w:pPr>
        <w:spacing w:after="0" w:line="17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7"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Mario Yau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Kwan Ho and Hicham Chahine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Registration Statement on Form F-6 has been signed by the following persons in the following capacities on June 15,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1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440" w:type="dxa"/>
            <w:vAlign w:val="bottom"/>
          </w:tcPr>
          <w:p>
            <w:pPr>
              <w:spacing w:after="0"/>
              <w:rPr>
                <w:sz w:val="17"/>
                <w:szCs w:val="17"/>
                <w:color w:val="auto"/>
              </w:rPr>
            </w:pPr>
          </w:p>
        </w:tc>
      </w:tr>
      <w:tr>
        <w:trPr>
          <w:trHeight w:val="453"/>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Mario Yau Kwan Ho</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9"/>
              </w:rPr>
              <w:t>Director and Co-Chief Executive Officer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Mario Yau Kwan Ho</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Hicham Chahine</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9"/>
              </w:rPr>
              <w:t>Director and Co-Chief Executive Officer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Hicham Chahine</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Zhiyong Li</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Zhiyong Li</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Liwei Sun</w:t>
            </w:r>
          </w:p>
        </w:tc>
        <w:tc>
          <w:tcPr>
            <w:tcW w:w="5820" w:type="dxa"/>
            <w:vAlign w:val="bottom"/>
            <w:gridSpan w:val="3"/>
          </w:tcPr>
          <w:p>
            <w:pPr>
              <w:jc w:val="center"/>
              <w:ind w:left="2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Liwei Sun</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Yanjun Xu</w:t>
            </w:r>
          </w:p>
        </w:tc>
        <w:tc>
          <w:tcPr>
            <w:tcW w:w="5820" w:type="dxa"/>
            <w:vAlign w:val="bottom"/>
            <w:gridSpan w:val="3"/>
          </w:tcPr>
          <w:p>
            <w:pPr>
              <w:jc w:val="center"/>
              <w:ind w:left="2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Yanjun Xu</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Carl Stuart Agren</w:t>
            </w:r>
          </w:p>
        </w:tc>
        <w:tc>
          <w:tcPr>
            <w:tcW w:w="5820" w:type="dxa"/>
            <w:vAlign w:val="bottom"/>
            <w:gridSpan w:val="3"/>
          </w:tcPr>
          <w:p>
            <w:pPr>
              <w:jc w:val="center"/>
              <w:ind w:left="2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Carl Stuart Agren</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Carter Jack Feldman</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Carter Jack Feldman</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King R.H. Harris</w:t>
            </w:r>
          </w:p>
        </w:tc>
        <w:tc>
          <w:tcPr>
            <w:tcW w:w="582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King R.H. Harris</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left="2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Felix Granander</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left="2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Simon Ming Yeung Tang</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Kee Wee Kiang Kenneth</w:t>
            </w:r>
          </w:p>
        </w:tc>
        <w:tc>
          <w:tcPr>
            <w:tcW w:w="5820" w:type="dxa"/>
            <w:vAlign w:val="bottom"/>
            <w:gridSpan w:val="3"/>
          </w:tcPr>
          <w:p>
            <w:pPr>
              <w:jc w:val="center"/>
              <w:ind w:left="2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Kee Wee Kiang Kenneth</w:t>
            </w: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REPRESENTATIVE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Securities Act of 1933, as amended, the undersigned, the duly authorized representative in the United States of America, has signed this Post-Effective Amendment No. 1 to Registration Statement on Form F-6 in New York, NY, United States, on June 15, 2026.</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7"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30"/>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84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2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Numbered Page</w:t>
            </w: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8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Amendment No. 1 to 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(a)(ii)</w:t>
            </w: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II-7</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NIP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HOLDERS AND BENEFICIAL OWNERS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 ISSUED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OUTSTANDING UNDER THE TERMS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DEPOSIT AGREEMENT, DATED AS OF JULY 25, 2024</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78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AMENDMENTS TO DEPOSIT AGREEMENT</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Deposit Agreement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Amendments Binding on all Holders and Beneficial Owners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8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AMENDMENTS TO THE FORM OF ADR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ADR Amendments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Ratio</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78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 ADRs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Notice of Amendment to Holders of ADSs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Ratification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ADR</w:t>
            </w: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B – NOTICE TO HOLDERS</w:t>
            </w:r>
          </w:p>
        </w:tc>
        <w:tc>
          <w:tcPr>
            <w:tcW w:w="19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DEPOSIT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AMENDMENT NO. 1 TO DEPOSIT AGREEMENT, dated as of [●][●], 2026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by and among NIP Group Inc., an exempted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pursuant to, and outstanding as of the date hereof under, the Deposit Agreement (as hereinafter defined).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Depositary, and all Holders and Beneficial Owners of ADSs, entered into that certain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July 25, 2024 (as so amended and supplemented from time to time prior to the date hereof,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for the creation of ADSs representing the Shares (as defined in the Deposit Agreement)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 change the ADS-to-Share ratio from (i) the existing ratio of one (1) ADS to two (2) Shares to</w:t>
      </w:r>
    </w:p>
    <w:p>
      <w:pPr>
        <w:spacing w:after="0" w:line="31" w:lineRule="exact"/>
        <w:rPr>
          <w:sz w:val="20"/>
          <w:szCs w:val="20"/>
          <w:color w:val="auto"/>
        </w:rPr>
      </w:pPr>
    </w:p>
    <w:p>
      <w:pPr>
        <w:jc w:val="both"/>
        <w:ind w:firstLine="8"/>
        <w:spacing w:after="0" w:line="255"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ratio of one (1) ADS to sixty (60) Shares, (b)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in each case pursuant to Section 6.1 of the Deposit Agreement, to reflect such changes, and (c) give notice thereof to all Holders (as defined in the Deposit Agreement) of ADSs; and</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6.1 of the Deposit Agreement, the Company and the Depositary deem it necessary and desirable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Deposit Agreement, the ADRs currently outstanding and the form of ADR annexed to the Deposit Agreement as Exhibit A for the purposes set forth herein;</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the Depositary hereby agree to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as follows:</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jc w:val="center"/>
        <w:ind w:right="8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No. 1, all capitalized terms used, but not defined, herein shall have the meanings ascribed to such terms in the Deposit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set forth above and as of which this Amendment No. 1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Deposit Agreement to the term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as of the Effective Date, refer to the Deposit Agreement, dated as of July 25, 2024, as amended by this Amendment No. 1, and as may be further amended and supplemented from time to time after the Effective Date.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xml:space="preserve">. From and after the Effective Date, the amendments to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effected hereby shall be binding on all Holders and Beneficial Owners of ADSs issued and outstanding as of the Effective Date and on all Holders and Beneficial Owners of ADSs issued after the Effective Date.</w:t>
      </w: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796"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phrase in the top, right-hand corner of the first page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phrase in its entirety and inserting the following in its stead:</w:t>
      </w:r>
    </w:p>
    <w:p>
      <w:pPr>
        <w:spacing w:after="0" w:line="176"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“American Depositary Shares (each American Depositary Share representing the right to receive sixty (60) fully paid Class A ordinary shares)”</w:t>
      </w:r>
    </w:p>
    <w:p>
      <w:pPr>
        <w:spacing w:after="0" w:line="162" w:lineRule="exact"/>
        <w:rPr>
          <w:sz w:val="20"/>
          <w:szCs w:val="20"/>
          <w:color w:val="auto"/>
        </w:rPr>
      </w:pPr>
    </w:p>
    <w:p>
      <w:pPr>
        <w:jc w:val="both"/>
        <w:ind w:firstLine="1304"/>
        <w:spacing w:after="0" w:line="266" w:lineRule="auto"/>
        <w:tabs>
          <w:tab w:leader="none" w:pos="1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sentence of the introductory paragraph of the first page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“As of the date of issuance of this ADR, each ADS represents the right to receive sixty (60) Shares deposited under the Deposit Agreement (as hereinafter defined) with the Custodian, which at the date of issuance of this ADR is Citibank, N.A. – Hong Kong (the “Custodian”).”</w:t>
      </w:r>
    </w:p>
    <w:p>
      <w:pPr>
        <w:spacing w:after="0" w:line="176" w:lineRule="exact"/>
        <w:rPr>
          <w:sz w:val="20"/>
          <w:szCs w:val="20"/>
          <w:color w:val="auto"/>
        </w:rPr>
      </w:pPr>
    </w:p>
    <w:p>
      <w:pPr>
        <w:jc w:val="both"/>
        <w:ind w:firstLine="1304"/>
        <w:spacing w:after="0" w:line="266" w:lineRule="auto"/>
        <w:tabs>
          <w:tab w:leader="none" w:pos="16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paragraph (1)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Deposit Agreement, dated as of July 25, 2024, as amended by Amendment No. 1 to the Deposit Agreement, dated as of [ ● ], 2026 (as so amended and as further amended and supplemented from time to time, the “Deposit Agreement”), by and among the Company, the Depositary, and all Holders and Beneficial Owners from time to time of ADSs issued thereunder.”</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lef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Change of Ratio</w:t>
      </w:r>
      <w:r>
        <w:rPr>
          <w:rFonts w:ascii="Times New Roman" w:cs="Times New Roman" w:eastAsia="Times New Roman" w:hAnsi="Times New Roman"/>
          <w:sz w:val="18"/>
          <w:szCs w:val="18"/>
          <w:color w:val="auto"/>
        </w:rPr>
        <w:t xml:space="preserve">. All other references to the ADS-to-Share ratio made in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outstanding, as of the Effective Date, under the terms of the Deposit Agreement shall, as of the Effective Date, refer to the ADS-to-Share ratio of “One (1) ADS to sixty (60)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all Holders and Beneficial Owners, that:</w:t>
      </w:r>
    </w:p>
    <w:p>
      <w:pPr>
        <w:spacing w:after="0" w:line="162" w:lineRule="exact"/>
        <w:rPr>
          <w:sz w:val="20"/>
          <w:szCs w:val="20"/>
          <w:color w:val="auto"/>
        </w:rPr>
      </w:pPr>
    </w:p>
    <w:p>
      <w:pPr>
        <w:jc w:val="both"/>
        <w:ind w:firstLine="1304"/>
        <w:spacing w:after="0" w:line="258" w:lineRule="auto"/>
        <w:tabs>
          <w:tab w:leader="none" w:pos="16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No. 1 or the Deposit Agreement as amended hereby, or any other document furnished hereunder or thereunder in the Cayman Islands, neither of such agreements need to be filed or recorded with any court or other authority in the Cayman Islands, nor does any stamp or similar tax need be paid in the Cayman Islands on or in respect of such agreements; and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No. 1 is true, accurate,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ind w:right="80"/>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to reflect the changes to the form of ADR effected by this Amendment No. 1. All ADRs issued hereunder after the Effective Date,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ADRs issued prior or subsequent to the date hereof, which do not reflect the changes to the form of ADR effected hereby, must be returned to the Depositary for exchange. The Depositary is authorized and directed to take any and all actions deemed necessary to effect the foregoing.</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of the terms of this Amendment No. 1, (ii) of the Effective Date of this Amendment No. 1, (iii) that the Holder of ADRs, if any, are requested to surrender their ADRs in exchange for new ADRs reflecting the changes effected by this Amendment No. 1, as provided in Section 5.1 hereof, and (iv) that copies of this Amendment No. 1 may be retrieved from the Commission’s website at https://www.sec.gov and may be obtained from the Depositary and the Company upon request. The notice to Holders of ADSs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the Depositary, the Custodian (as defined in the Deposit Agreement) (and any and all of their directors, employees, officers, agents) for any and all liability it or they may incur as a result of the terms of this Amendment No. 1 and the transactions contemplated herein.</w:t>
      </w:r>
    </w:p>
    <w:p>
      <w:pPr>
        <w:spacing w:after="0" w:line="2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400" w:top="796"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Deposit Agreement as originally executed shall remain in full force and effect.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1 shall be governed by and construed in accordance with the laws of the State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1 may be executed in any number of counterparts, each of which shall be deemed an original, and all of such counterparts together shall be deemed an original, and all such counterparts together shall constitute one and the same agreement.</w:t>
      </w:r>
    </w:p>
    <w:p>
      <w:pPr>
        <w:spacing w:after="0" w:line="1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796" w:right="339" w:bottom="1440" w:gutter="0" w:footer="0" w:header="0"/>
        </w:sectPr>
      </w:pPr>
    </w:p>
    <w:bookmarkStart w:id="21" w:name="page22"/>
    <w:bookmarkEnd w:id="21"/>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the Depositary have caused this Amendment No. 1 to be executed by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set forth above.</w:t>
      </w:r>
    </w:p>
    <w:p>
      <w:pPr>
        <w:spacing w:after="0" w:line="1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Amendment No. 1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1000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3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NUMBER: _______</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3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Depositary Share representing the right to</w:t>
            </w:r>
          </w:p>
        </w:tc>
        <w:tc>
          <w:tcPr>
            <w:tcW w:w="0" w:type="dxa"/>
            <w:vAlign w:val="bottom"/>
          </w:tcPr>
          <w:p>
            <w:pPr>
              <w:spacing w:after="0"/>
              <w:rPr>
                <w:sz w:val="1"/>
                <w:szCs w:val="1"/>
                <w:color w:val="auto"/>
              </w:rPr>
            </w:pPr>
          </w:p>
        </w:tc>
      </w:tr>
      <w:tr>
        <w:trPr>
          <w:trHeight w:val="212"/>
        </w:trPr>
        <w:tc>
          <w:tcPr>
            <w:tcW w:w="1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receive sixty (60) fully paid Class A ordinary</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DEPOSITED CLASS A ORDINARY SHARES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w w:val="98"/>
              </w:rPr>
              <w:t>NIP GROUP INC.</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“Depositary”), hereby certifies that _____________is the owner of ______________ American Depositary Shares (hereinafter “ADS”) representing</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deposited Class A ordinary shares, including evidence of rights to receive such Class A ordinary shares (the “Shares”), of NIP Group Inc., a Cayman Islands exempted company, and its successors (the “Company”). As of the date of issuance of this ADR, each ADS represents the right to receive sixty (60)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3" w:name="page24"/>
    <w:bookmarkEnd w:id="23"/>
    <w:p>
      <w:pPr>
        <w:jc w:val="both"/>
        <w:ind w:firstLine="656"/>
        <w:spacing w:after="0" w:line="253" w:lineRule="auto"/>
        <w:tabs>
          <w:tab w:leader="none" w:pos="94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July 25, 2024, as amended by Amendment No. 1 to the Deposit Agreement, dated as of [●], 2026 (as so amended and as further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Delivery (at the Custodian’s designated office) of the Deposited Securities at the time represented by the ADSs evidenced hereby upon satisfaction of each of the following conditions: (i) the Holder (or a duly-authorized attorney of the Holder) has duly Delivered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the applicable book-entry settlement entity, and to any provisions of or governing the Deposited Securities, in each case as in effect at the time thereof.</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as promptly as commercially practicable,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the applicable book-entry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63" w:lineRule="auto"/>
        <w:tabs>
          <w:tab w:leader="none" w:pos="948"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as promptly as commercially practicable register the transfer of this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 the ADSs represented hereby) on the books maintained for such purpose and the Depositary shall as promptly as commercially practicable</w:t>
      </w: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this ADR and execute new ADRs evidencing the same aggregate number of ADSs as those evidenced by this ADR canceled by the Depositary,</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Registrar shall as promptly as commercially practicable register the split-up or combination of this ADR (and of the ADSs represented hereby) on the books maintained for such purpose and the Depositary shall as promptly as commercially practicable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656"/>
        <w:spacing w:after="0" w:line="254" w:lineRule="auto"/>
        <w:tabs>
          <w:tab w:leader="none" w:pos="9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jc w:val="both"/>
        <w:ind w:firstLine="656"/>
        <w:spacing w:after="0" w:line="255" w:lineRule="auto"/>
        <w:tabs>
          <w:tab w:leader="none" w:pos="98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as promptly as commercially practicable, and at the Company’s expense, any such request from the Company to the Holders and to forward to the Company any such responses to such requests received by the Depositary.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656"/>
        <w:spacing w:after="0" w:line="254" w:lineRule="auto"/>
        <w:tabs>
          <w:tab w:leader="none" w:pos="100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6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4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656"/>
        <w:spacing w:after="0" w:line="254" w:lineRule="auto"/>
        <w:tabs>
          <w:tab w:leader="none" w:pos="100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7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request of the Company, to the extent practicable, shall,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1100" w:hanging="444"/>
        <w:spacing w:after="0"/>
        <w:tabs>
          <w:tab w:leader="none" w:pos="11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(some of which may be cumulative) are payable under the terms of the Deposit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ADS conversions, or for any other reason), excluding issuances as a result of distributions described in paragraph (iv) below, a fee not in excess of U.S. $5.00 per 100 ADSs (or fraction thereof) issued under the terms of the Deposit Agreement;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ADS conversions, upon termination of the Deposit Agreement,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ind w:left="1960" w:hanging="656"/>
        <w:spacing w:after="0" w:line="266"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termination of the Deposit Agreement).</w:t>
      </w:r>
    </w:p>
    <w:p>
      <w:pPr>
        <w:spacing w:after="0" w:line="18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sz w:val="20"/>
          <w:szCs w:val="20"/>
          <w:color w:val="auto"/>
        </w:rPr>
      </w:pPr>
    </w:p>
    <w:p>
      <w:pPr>
        <w:jc w:val="both"/>
        <w:ind w:left="1860"/>
        <w:spacing w:after="0" w:line="266" w:lineRule="auto"/>
        <w:rPr>
          <w:sz w:val="20"/>
          <w:szCs w:val="20"/>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6" w:lineRule="exact"/>
        <w:rPr>
          <w:sz w:val="20"/>
          <w:szCs w:val="20"/>
          <w:color w:val="auto"/>
        </w:rPr>
      </w:pPr>
    </w:p>
    <w:p>
      <w:pPr>
        <w:jc w:val="both"/>
        <w:ind w:left="1860"/>
        <w:spacing w:after="0" w:line="266" w:lineRule="auto"/>
        <w:rPr>
          <w:sz w:val="20"/>
          <w:szCs w:val="20"/>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6" w:lineRule="exact"/>
        <w:rPr>
          <w:sz w:val="20"/>
          <w:szCs w:val="20"/>
          <w:color w:val="auto"/>
        </w:rPr>
      </w:pPr>
    </w:p>
    <w:p>
      <w:pPr>
        <w:jc w:val="both"/>
        <w:ind w:left="1860" w:right="20"/>
        <w:spacing w:after="0" w:line="266" w:lineRule="auto"/>
        <w:rPr>
          <w:sz w:val="20"/>
          <w:szCs w:val="20"/>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ind w:left="1860" w:right="20"/>
        <w:spacing w:after="0" w:line="282" w:lineRule="auto"/>
        <w:rPr>
          <w:sz w:val="20"/>
          <w:szCs w:val="20"/>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2" w:lineRule="exact"/>
        <w:rPr>
          <w:sz w:val="20"/>
          <w:szCs w:val="20"/>
          <w:color w:val="auto"/>
        </w:rPr>
      </w:pPr>
    </w:p>
    <w:p>
      <w:pPr>
        <w:ind w:left="1860"/>
        <w:spacing w:after="0" w:line="282" w:lineRule="auto"/>
        <w:rPr>
          <w:sz w:val="20"/>
          <w:szCs w:val="20"/>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62" w:lineRule="exact"/>
        <w:rPr>
          <w:sz w:val="20"/>
          <w:szCs w:val="20"/>
          <w:color w:val="auto"/>
        </w:rPr>
      </w:pPr>
    </w:p>
    <w:p>
      <w:pPr>
        <w:ind w:left="1860"/>
        <w:spacing w:after="0" w:line="282" w:lineRule="auto"/>
        <w:rPr>
          <w:sz w:val="20"/>
          <w:szCs w:val="20"/>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Any failure by the Company to timely pay any fees, charges and reimbursements of the Depositary for which the Company is responsible pursuant to the Deposit Agreement, or any ancillary agreement between the Depositary and the Company, may suspend the obligation of the Depositary to provide the services contemplated in the Deposit Agreement at the expense of the Company (including services being made available to Holders and Beneficial Owners), and the Depositary shall have no obligation to provide any such services made available at the Company’s expense (including services being made available to Holders and Beneficial Owners) unless and until payment has been made in full by the Company. Unless otherwise agreed, the Depositary shall present its statement for such fees, charges and reimbursements to the Company once every three months. The charges and expenses of the Custodian are for the sole account of the Depositary.</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obligations of the Company, Holders and Beneficial Owners to pay ADS fees, charges and reimbursements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6" w:lineRule="exact"/>
        <w:rPr>
          <w:sz w:val="20"/>
          <w:szCs w:val="20"/>
          <w:color w:val="auto"/>
        </w:rPr>
      </w:pPr>
    </w:p>
    <w:p>
      <w:pPr>
        <w:jc w:val="both"/>
        <w:ind w:firstLine="656"/>
        <w:spacing w:after="0" w:line="254" w:lineRule="auto"/>
        <w:tabs>
          <w:tab w:leader="none" w:pos="106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firstLine="656"/>
        <w:spacing w:after="0" w:line="255" w:lineRule="auto"/>
        <w:tabs>
          <w:tab w:leader="none" w:pos="107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commercially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jc w:val="both"/>
        <w:ind w:firstLine="656"/>
        <w:spacing w:after="0" w:line="254" w:lineRule="auto"/>
        <w:tabs>
          <w:tab w:leader="none" w:pos="1051"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w:t>
      </w:r>
    </w:p>
    <w:p>
      <w:pPr>
        <w:spacing w:after="0" w:line="3"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and unless previously established, establish the ADS Record Date upon the terms described in Section 4.9 of the Deposit Agreement, and</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promptly the amount thus received (net of (a) the applicable fees and charges set forth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1304"/>
        <w:spacing w:after="0" w:line="254"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firstLine="1304"/>
        <w:spacing w:after="0" w:line="252" w:lineRule="auto"/>
        <w:tabs>
          <w:tab w:leader="none" w:pos="15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in cash or Shares to be made available to Holders of ADSs upon the terms described in the Deposit Agreement, the Company and the Depositary shall determine in accordance with the Deposit Agreement whether such distribution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upon the terms described in Section 4.1 of the Deposit Agreement or (y) 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w:t>
      </w:r>
    </w:p>
    <w:p>
      <w:pPr>
        <w:spacing w:after="0" w:line="4" w:lineRule="exact"/>
        <w:rPr>
          <w:rFonts w:ascii="Times New Roman" w:cs="Times New Roman" w:eastAsia="Times New Roman" w:hAnsi="Times New Roman"/>
          <w:sz w:val="18"/>
          <w:szCs w:val="18"/>
          <w:color w:val="auto"/>
        </w:rPr>
      </w:pPr>
    </w:p>
    <w:p>
      <w:pPr>
        <w:jc w:val="both"/>
        <w:ind w:firstLine="8"/>
        <w:spacing w:after="0" w:line="250"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reasonably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1304"/>
        <w:spacing w:after="0" w:line="254"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jc w:val="both"/>
        <w:ind w:firstLine="8"/>
        <w:spacing w:after="0" w:line="253" w:lineRule="auto"/>
        <w:tabs>
          <w:tab w:leader="none" w:pos="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hereof and in Section 4.1 of the Deposit Agreement. If the Depositary is unable to sell such property, the Depositary may dispose of such property for the account of the Holders in any way it deems reasonably practicable under the circumstances.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reasonably determining that such proposed redemption is practicable, the Depositary shall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56"/>
        <w:spacing w:after="0" w:line="253" w:lineRule="auto"/>
        <w:tabs>
          <w:tab w:leader="none" w:pos="107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as in effect on the date of the Deposit Agreement, voting at any meeting of shareholders of the Company must be decided on a poll vote.</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and the provisions of the Deposited Securities, to vote, or cause the Custodian to vote, the Deposited Securities (in person or by proxy) represented by such Holder’s ADSs in accordance with the voting instructions timely received from the Holders of ADSs. If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save for purposes of establishing a quorum,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required by Cayman Island law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158" w:lineRule="exact"/>
        <w:rPr>
          <w:sz w:val="20"/>
          <w:szCs w:val="20"/>
          <w:color w:val="auto"/>
        </w:rPr>
      </w:pPr>
    </w:p>
    <w:p>
      <w:pPr>
        <w:jc w:val="both"/>
        <w:ind w:firstLine="656"/>
        <w:spacing w:after="0" w:line="252" w:lineRule="auto"/>
        <w:tabs>
          <w:tab w:leader="none" w:pos="109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56"/>
        <w:spacing w:after="0" w:line="251" w:lineRule="auto"/>
        <w:tabs>
          <w:tab w:leader="none" w:pos="1038"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w:t>
      </w:r>
    </w:p>
    <w:p>
      <w:pPr>
        <w:spacing w:after="0" w:line="13"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ind w:firstLine="656"/>
        <w:spacing w:after="0" w:line="255" w:lineRule="auto"/>
        <w:tabs>
          <w:tab w:leader="none" w:pos="107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Depositary and its agent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interests in the Deposited Property (or the manner in which such interests are acquired or held),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 worthiness of any third party, for allowing any rights to lapse upon the terms of the Deposit Agreement, for the failure or timeliness of any notice from the Company, for the manner in which a Holder or Beneficial Owner elects to own and/or hold ADSs (e.g., in a brokerage account vs. as registered Holder on the register of ADSs maintained by the Depositary), the type of ADSs a Holder or Beneficial Owner holds or owns (e.g., freely transferable ADSs vs. Restricted ADSs, and/or Full Entitlement ADSs vs. Partial Entitlement ADSs), the timeframe of issuance and ownership of ADSs (e.g., as of an ADS Record Date vs. before and/or after an ADS Record Date), or for any action of or failure to act by, or any information provided or not provided by, DTC or any DTC Participant.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52" w:lineRule="auto"/>
        <w:tabs>
          <w:tab w:leader="none" w:pos="111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firstLine="656"/>
        <w:spacing w:after="0" w:line="252" w:lineRule="auto"/>
        <w:tabs>
          <w:tab w:leader="none" w:pos="1105"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1065"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Depositary shall not, after the Termination Date, have any obligation to perform any further acts under the Deposit Agreement, except that the Depositary shall, subject, in each case, to the terms and conditions of the Deposit Agreement, continue to</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ADS fees and charges of, and reimbursement of the applicable expenses incurred by, the Depositary.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After the Termination Date, the Company shall be discharged from all obligations under the Deposit Agreement, except for its obligations to the Depositary under Sections 5.8, 5.9, 6.2,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9" w:lineRule="exact"/>
        <w:rPr>
          <w:sz w:val="20"/>
          <w:szCs w:val="20"/>
          <w:color w:val="auto"/>
        </w:rPr>
      </w:pPr>
    </w:p>
    <w:p>
      <w:pPr>
        <w:jc w:val="both"/>
        <w:ind w:firstLine="656"/>
        <w:spacing w:after="0" w:line="268" w:lineRule="auto"/>
        <w:tabs>
          <w:tab w:leader="none" w:pos="109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ind w:firstLine="656"/>
        <w:spacing w:after="0" w:line="266" w:lineRule="auto"/>
        <w:tabs>
          <w:tab w:leader="none" w:pos="9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1051"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NOTICE: The signature of the Holder to this assignment must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enlargement or any change whatsoever.</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5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57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5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Depositary Notice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ADS RATIO CHANGE / REVERSE SPLIT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Holders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representing the Deposited Securities of NIP Group Inc.</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3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5940" w:type="dxa"/>
            <w:vAlign w:val="bottom"/>
            <w:tcBorders>
              <w:top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NIP Group Inc., an exempted company incorporated under the laws of the</w:t>
            </w:r>
          </w:p>
        </w:tc>
      </w:tr>
      <w:tr>
        <w:trPr>
          <w:trHeight w:val="234"/>
        </w:trPr>
        <w:tc>
          <w:tcPr>
            <w:tcW w:w="5300" w:type="dxa"/>
            <w:vAlign w:val="bottom"/>
            <w:tcBorders>
              <w:left w:val="single" w:sz="8" w:color="auto"/>
              <w:right w:val="single" w:sz="8" w:color="auto"/>
            </w:tcBorders>
          </w:tcPr>
          <w:p>
            <w:pPr>
              <w:spacing w:after="0"/>
              <w:rPr>
                <w:sz w:val="20"/>
                <w:szCs w:val="20"/>
                <w:color w:val="auto"/>
              </w:rPr>
            </w:pP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1"/>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Depositary:</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Citibank, N.A.</w:t>
            </w: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Custodian:</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Citibank, N.A</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Hong Kong.</w:t>
            </w:r>
          </w:p>
        </w:tc>
      </w:tr>
      <w:tr>
        <w:trPr>
          <w:trHeight w:val="41"/>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32"/>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Deposited Securities:</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Class A ordinary shares, $0.0001 par value per share of the Company (“the</w:t>
            </w:r>
          </w:p>
        </w:tc>
      </w:tr>
      <w:tr>
        <w:trPr>
          <w:trHeight w:val="194"/>
        </w:trPr>
        <w:tc>
          <w:tcPr>
            <w:tcW w:w="530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gridSpan w:val="5"/>
          </w:tcPr>
          <w:p>
            <w:pPr>
              <w:ind w:left="40"/>
              <w:spacing w:after="0" w:line="194" w:lineRule="exact"/>
              <w:rPr>
                <w:sz w:val="20"/>
                <w:szCs w:val="20"/>
                <w:color w:val="auto"/>
              </w:rPr>
            </w:pPr>
            <w:r>
              <w:rPr>
                <w:rFonts w:ascii="Times New Roman" w:cs="Times New Roman" w:eastAsia="Times New Roman" w:hAnsi="Times New Roman"/>
                <w:sz w:val="18"/>
                <w:szCs w:val="18"/>
                <w:color w:val="auto"/>
              </w:rPr>
              <w:t>Share(s)”).</w:t>
            </w:r>
          </w:p>
        </w:tc>
      </w:tr>
      <w:tr>
        <w:trPr>
          <w:trHeight w:val="61"/>
        </w:trPr>
        <w:tc>
          <w:tcPr>
            <w:tcW w:w="530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ADS-to-Shares Ratio:</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Each ADS represents two (2) Shares.</w:t>
            </w: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ADS-to-Shares Ratio:</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Each ADS represents the right to receive sixty (60) Shares.</w:t>
            </w:r>
          </w:p>
        </w:tc>
      </w:tr>
      <w:tr>
        <w:trPr>
          <w:trHeight w:val="41"/>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32"/>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Agreement:</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Deposit Agreement, dated as of July 25, 2024, by and among the Company, the</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Depositary, and the Holders and Beneficial Owners of ADSs issued thereunder</w:t>
            </w:r>
          </w:p>
        </w:tc>
      </w:tr>
      <w:tr>
        <w:trPr>
          <w:trHeight w:val="194"/>
        </w:trPr>
        <w:tc>
          <w:tcPr>
            <w:tcW w:w="530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gridSpan w:val="5"/>
          </w:tcPr>
          <w:p>
            <w:pPr>
              <w:ind w:left="40"/>
              <w:spacing w:after="0" w:line="194" w:lineRule="exact"/>
              <w:rPr>
                <w:sz w:val="20"/>
                <w:szCs w:val="20"/>
                <w:color w:val="auto"/>
              </w:rPr>
            </w:pPr>
            <w:r>
              <w:rPr>
                <w:rFonts w:ascii="Times New Roman" w:cs="Times New Roman" w:eastAsia="Times New Roman" w:hAnsi="Times New Roman"/>
                <w:sz w:val="18"/>
                <w:szCs w:val="18"/>
                <w:color w:val="auto"/>
              </w:rPr>
              <w:t>(the “Deposit Agreement”).</w:t>
            </w:r>
          </w:p>
        </w:tc>
      </w:tr>
      <w:tr>
        <w:trPr>
          <w:trHeight w:val="61"/>
        </w:trPr>
        <w:tc>
          <w:tcPr>
            <w:tcW w:w="530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 Symbol:</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NIPG.*</w:t>
            </w: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 ISIN:</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US6545031014.*</w:t>
            </w:r>
          </w:p>
        </w:tc>
      </w:tr>
      <w:tr>
        <w:trPr>
          <w:trHeight w:val="41"/>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ADS ISIN:</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US6545032004.*</w:t>
            </w: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 CUSIP No.:</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654503101.*</w:t>
            </w:r>
          </w:p>
        </w:tc>
        <w:tc>
          <w:tcPr>
            <w:tcW w:w="4100" w:type="dxa"/>
            <w:vAlign w:val="bottom"/>
            <w:tcBorders>
              <w:right w:val="single" w:sz="8" w:color="auto"/>
            </w:tcBorders>
          </w:tcPr>
          <w:p>
            <w:pPr>
              <w:spacing w:after="0"/>
              <w:rPr>
                <w:sz w:val="21"/>
                <w:szCs w:val="21"/>
                <w:color w:val="auto"/>
              </w:rPr>
            </w:pP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ADS CUSIP No.:</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654503200.*</w:t>
            </w:r>
          </w:p>
        </w:tc>
        <w:tc>
          <w:tcPr>
            <w:tcW w:w="4100" w:type="dxa"/>
            <w:vAlign w:val="bottom"/>
            <w:tcBorders>
              <w:right w:val="single" w:sz="8" w:color="auto"/>
            </w:tcBorders>
          </w:tcPr>
          <w:p>
            <w:pPr>
              <w:spacing w:after="0"/>
              <w:rPr>
                <w:sz w:val="21"/>
                <w:szCs w:val="21"/>
                <w:color w:val="auto"/>
              </w:rPr>
            </w:pP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50"/>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July 6, 2026.</w:t>
            </w: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232"/>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 Books Closure to ADS Issuances and Cancellations:</w:t>
            </w: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June 29, 2026 (5:00 p.m. New York City time) until July 6, 2026 (5:00 p.m. New</w:t>
            </w:r>
          </w:p>
        </w:tc>
      </w:tr>
      <w:tr>
        <w:trPr>
          <w:trHeight w:val="234"/>
        </w:trPr>
        <w:tc>
          <w:tcPr>
            <w:tcW w:w="5300" w:type="dxa"/>
            <w:vAlign w:val="bottom"/>
            <w:tcBorders>
              <w:left w:val="single" w:sz="8" w:color="auto"/>
              <w:right w:val="single" w:sz="8" w:color="auto"/>
            </w:tcBorders>
          </w:tcPr>
          <w:p>
            <w:pPr>
              <w:spacing w:after="0"/>
              <w:rPr>
                <w:sz w:val="20"/>
                <w:szCs w:val="20"/>
                <w:color w:val="auto"/>
              </w:rPr>
            </w:pPr>
          </w:p>
        </w:tc>
        <w:tc>
          <w:tcPr>
            <w:tcW w:w="59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York City time).</w:t>
            </w:r>
          </w:p>
        </w:tc>
      </w:tr>
      <w:tr>
        <w:trPr>
          <w:trHeight w:val="40"/>
        </w:trPr>
        <w:tc>
          <w:tcPr>
            <w:tcW w:w="53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*ADS Symbol, ISINs and CUSIP Nos. are provided as a convenience only and without any liability for accuracy.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Depositary have agreed to change the Existing ADS-to-Shares Ratio (the “</w:t>
      </w:r>
      <w:r>
        <w:rPr>
          <w:rFonts w:ascii="Times New Roman" w:cs="Times New Roman" w:eastAsia="Times New Roman" w:hAnsi="Times New Roman"/>
          <w:sz w:val="18"/>
          <w:szCs w:val="18"/>
          <w:u w:val="single" w:color="auto"/>
          <w:color w:val="auto"/>
        </w:rPr>
        <w:t>ADS Ratio Change</w:t>
      </w:r>
      <w:r>
        <w:rPr>
          <w:rFonts w:ascii="Times New Roman" w:cs="Times New Roman" w:eastAsia="Times New Roman" w:hAnsi="Times New Roman"/>
          <w:sz w:val="18"/>
          <w:szCs w:val="18"/>
          <w:color w:val="auto"/>
        </w:rPr>
        <w:t>”) as of the Effective Date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Existing ADS-to-Shares Ratio:</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One (1)</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ADS to two (2) Shares</w:t>
            </w:r>
          </w:p>
        </w:tc>
      </w:tr>
      <w:tr>
        <w:trPr>
          <w:trHeight w:val="432"/>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New ADS-to-Shares Ratio:</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One (1)</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ADS to sixty (60) Shares</w:t>
            </w:r>
          </w:p>
        </w:tc>
      </w:tr>
      <w:tr>
        <w:trPr>
          <w:trHeight w:val="567"/>
        </w:trPr>
        <w:tc>
          <w:tcPr>
            <w:tcW w:w="3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2"/>
                <w:szCs w:val="22"/>
                <w:color w:val="auto"/>
              </w:rPr>
              <w:t>B-1</w:t>
            </w:r>
          </w:p>
        </w:tc>
      </w:tr>
    </w:tbl>
    <w:p>
      <w:pPr>
        <w:sectPr>
          <w:pgSz w:w="11900" w:h="16838" w:orient="portrait"/>
          <w:cols w:equalWidth="0" w:num="1">
            <w:col w:w="11240"/>
          </w:cols>
          <w:pgMar w:left="320" w:top="792"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Following the Effective Date for the ADS Ratio Change, each ADS will represent sixty (60)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ADS Ratio Change, the CUSIP number for the ADSs will change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Existing ADS CUSIP: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654503101</w:t>
            </w:r>
          </w:p>
        </w:tc>
      </w:tr>
      <w:tr>
        <w:trPr>
          <w:trHeight w:val="43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New ADS CUSIP: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654503200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ADS Ratio Change, Holders of ADSs as of the Effective Date will be entitled to receive one (1) new ADS for every thirty (30) existing ADSs held as of the Effective Date and will be charged a Depositary fee equal to $0.03 per ADS canceled.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The Depository Trust Company (“DTC”)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do not need to take any action for existing ADSs held in DTC or through one of its participants (e.g., a bank, broker, or other nominee). After the ADS Ratio Change, the new ADSs (CUSIP No.: 654503200) will be credited to DTC in exchange for existing ADSs for distribution to DTC participants and their client accounts. DTC participants and their clients are not required to take any affirmative actions to exchange existing ADSs for new ADSs.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uncertificated form (other than in DTC)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do not need to take any action for existing ADSs held via the Direct Registration System (the “</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You will receive a statement from the Depositary specifying the applicable number of ADSs, after the ADS Ratio Change, that have been registered in your name.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ADSs will be issued. Cash in lieu of fractional entitlements to ADSs will be distributed at a rate based upon the net proceeds received by the Depositary for the sale of the aggregate of the fractional ADS entitlements.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has filed (x) a form of Amendment No. 1 to Deposit Agreement, and (y) a form of ADR that reflects the new ADS-to-Share ratio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cover of Post-Effective Amendment No. 1 to Registration Statement on Form F-6. A copy of the filing is available from the SEC’s website at www.sec.gov under Registration Number 333-280716.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information with respect to the ADS Ratio Change has been provided to the Depositary by the Company. Holders and Beneficial Owners of ADSs should not rely on the Depositary as the sole source of information and are hereby instructed to consult their broker, financial intermediary, or legal or financial advisor for advice concerning their particular circumstances. The Depositary makes no recommendations and gives no investment, legal or tax advice as to the foregoing matters.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the above amendment, please call Citibank, ADR Shareholder Services at 1-877-248-4237. Copies of the Deposit Agreement and of Amendment No. 1 to the Deposit Agreement are available at the principal offices of the Depositary at 388 Greenwich Street, New York, NY 10013 and can also be retrieved from the SEC’s website at www.sec.gov under Registration Number 333-280716.</w:t>
      </w:r>
    </w:p>
    <w:p>
      <w:pPr>
        <w:spacing w:after="0" w:line="176"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color w:val="auto"/>
        </w:rPr>
        <w:t>Citibank, N.A. as Depositary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HOLDERS AND BENEFICIAL OWNERS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92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ADS Record 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 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Beneficial Owner(s)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 ADS(s)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1.8</w:t>
            </w:r>
          </w:p>
        </w:tc>
        <w:tc>
          <w:tcPr>
            <w:tcW w:w="9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Citibank</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 Agreement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Registrar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Uncertificated ADS(s)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ARTICLE II</w:t>
            </w:r>
          </w:p>
        </w:tc>
        <w:tc>
          <w:tcPr>
            <w:tcW w:w="9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AND SURRENDER OF RECEIPTS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of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2.5</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ADSs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2.6</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2.7</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2.8</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2.9</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Lost ADRs, etc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2.10</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2.11</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Escheatment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2.12</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Entitlement ADSs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2.13</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2.14</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ADSs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3.1</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3.2</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3.3</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3.4</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3.5</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Ownership Restrictions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3.6</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ARTICLE IV</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DEPOSITED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Distributions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4.2</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in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4.3</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4.4</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4.5</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4.6</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4.7</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4.8</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4.9</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4.10</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4.11</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4.12</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4.13</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Reports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4.14</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4.15</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5.1</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5.2</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Exoneration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5.3</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Standard of Care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5.4</w:t>
            </w:r>
          </w:p>
        </w:tc>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5.5</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Custodian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5.6</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 and Reports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5.7</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5.8</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5.9</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ADS Fees and Charges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5.10</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6.1</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Amendment/Supplement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6.2</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7.1</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7.2</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7.3</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7.4</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7.5</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7.6</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7.7</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7.8</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7.9</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Cayman Islands Law References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7.10</w:t>
            </w: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Titles and References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7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ADR.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 Schedule.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July 25, 2024, by and among (i) NIP GROUP INC., a Cayman Islands exempted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facility to provide for the deposit of the Shares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given to such term in Section 4.9.</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(as hereinafter defined), or under any successor regulation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 “</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certificate(s) issued by the Depositary to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1.4 “</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rights and interests in the Deposited Property (as hereinafter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jc w:val="both"/>
        <w:ind w:firstLine="8"/>
        <w:spacing w:after="0" w:line="251"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1.5 “</w:t>
      </w:r>
      <w:r>
        <w:rPr>
          <w:rFonts w:ascii="Times New Roman" w:cs="Times New Roman" w:eastAsia="Times New Roman" w:hAnsi="Times New Roman"/>
          <w:sz w:val="18"/>
          <w:szCs w:val="18"/>
          <w:b w:val="1"/>
          <w:bCs w:val="1"/>
          <w:u w:val="single" w:color="auto"/>
          <w:color w:val="auto"/>
        </w:rPr>
        <w:t>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memorandum and articles of association of the Company, and any other constitutional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the Company, as amended or restated and in effect from time to time.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1.6 “</w:t>
      </w:r>
      <w:r>
        <w:rPr>
          <w:rFonts w:ascii="Times New Roman" w:cs="Times New Roman" w:eastAsia="Times New Roman" w:hAnsi="Times New Roman"/>
          <w:sz w:val="18"/>
          <w:szCs w:val="18"/>
          <w:b w:val="1"/>
          <w:bCs w:val="1"/>
          <w:u w:val="single" w:color="auto"/>
          <w:color w:val="auto"/>
        </w:rPr>
        <w:t>Beneficial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as to any ADS, any person or entity having a beneficial interest deriving from the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Beneficial Owners own and/or hold ADSs (e.g., in a brokerage account vs. as registered Holders on the ADS register maintained by the Depositary), the type of ADSs held (e.g., freely transferable ADSs vs. Restricted ADSs, and/or Full Entitlement ADSs vs. Partial Entitlement ADSs), the timeframe of issuance and ownership of ADSs (e.g., as of an ADS Record Date vs. before and/or after an ADS Record Date), and the number of ADSs held, may affect the rights and obligations of Beneficial Owners (including, without limitation, the ADS fees payable by Beneficial Owners), and the manner in which, and the extent to which, services are made available to, Beneficial Owners, in each case pursuant to the terms of the Deposit Agreement.</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Section 1.7 “</w:t>
      </w:r>
      <w:r>
        <w:rPr>
          <w:rFonts w:ascii="Times New Roman" w:cs="Times New Roman" w:eastAsia="Times New Roman" w:hAnsi="Times New Roman"/>
          <w:sz w:val="18"/>
          <w:szCs w:val="18"/>
          <w:b w:val="1"/>
          <w:bCs w:val="1"/>
          <w:u w:val="single" w:color="auto"/>
          <w:color w:val="auto"/>
        </w:rPr>
        <w:t>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1.8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 America,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successors.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1.9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NIP Group Inc., a Cayman Islands exempted company,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as of the date hereof, Citibank, N.A. – Hong Kong, having its principal office at 9/F Citi Tower, One Bay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this Deposit Agreement and all exhibits hereto, as the same may from time to time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supplemented from time to time in accordance with the terms of the Deposit Agreement.</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in its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under the terms of the Deposit Agreement, and any successor depositary hereunder.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ADSs under the Deposit Agreement and constituting Deposited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refer to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financial institution (or any nominee of such institution) having one or more participant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1.20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1.21 “</w:t>
      </w:r>
      <w:r>
        <w:rPr>
          <w:rFonts w:ascii="Times New Roman" w:cs="Times New Roman" w:eastAsia="Times New Roman" w:hAnsi="Times New Roman"/>
          <w:sz w:val="18"/>
          <w:szCs w:val="18"/>
          <w:b w:val="1"/>
          <w:bCs w:val="1"/>
          <w:u w:val="single" w:color="auto"/>
          <w:color w:val="auto"/>
        </w:rPr>
        <w:t>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currency other than Dollars.</w:t>
      </w: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1.22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2.12.</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1.23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Holders hold ADSs (e.g., in a brokerage account vs. as registered holders), the type of ADSs held (e.g., freely transferable ADSs vs. Restricted ADSs, and/or Full Entitlement ADSs vs. Partial Entitlement ADSs), the timeframe of issuance and ownership of ADSs (e.g., as of an ADS Record Date vs. before and/or after an ADS Record Date), and the number of ADSs held, may affect the rights and obligations of Holders (including, without limitation, the ADS fees payable by Holders), and the manner in which, and the extent to which, services are made available to, Holders, in each case pursuant to the terms of the Deposit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1.25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1.26 “</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1.27 “</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Deposited Securities or ADSs which (i) have been acquired directly or indirectly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color w:val="auto"/>
        </w:rPr>
        <w:t>Section 1.28 “</w:t>
      </w:r>
      <w:r>
        <w:rPr>
          <w:rFonts w:ascii="Times New Roman" w:cs="Times New Roman" w:eastAsia="Times New Roman" w:hAnsi="Times New Roman"/>
          <w:sz w:val="18"/>
          <w:szCs w:val="18"/>
          <w:b w:val="1"/>
          <w:bCs w:val="1"/>
          <w:u w:val="single" w:color="auto"/>
          <w:color w:val="auto"/>
        </w:rPr>
        <w:t>Restricted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 forth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1.29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United States Securities Act of 1933,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1.30 “</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Osiris International Cayman Limited or any other institution organized under the laws of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appointed by the Company from time to time to carry out the duties of registrar for the Shares, and any successor thereto.</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Company’s Class A ordinary shares, par value $0.0001 per share, validly issued and outstanding and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1.32 “</w:t>
      </w:r>
      <w:r>
        <w:rPr>
          <w:rFonts w:ascii="Times New Roman" w:cs="Times New Roman" w:eastAsia="Times New Roman" w:hAnsi="Times New Roman"/>
          <w:sz w:val="18"/>
          <w:szCs w:val="18"/>
          <w:b w:val="1"/>
          <w:bCs w:val="1"/>
          <w:u w:val="single" w:color="auto"/>
          <w:color w:val="auto"/>
        </w:rPr>
        <w:t>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1.33 “</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3" w:lineRule="exact"/>
        <w:rPr>
          <w:sz w:val="20"/>
          <w:szCs w:val="20"/>
          <w:color w:val="auto"/>
        </w:rPr>
      </w:pPr>
    </w:p>
    <w:p>
      <w:pPr>
        <w:jc w:val="both"/>
        <w:ind w:firstLine="8"/>
        <w:spacing w:after="0" w:line="253"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Form and Transferability of ADSs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75"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87" w:lineRule="exact"/>
        <w:rPr>
          <w:rFonts w:ascii="Times New Roman" w:cs="Times New Roman" w:eastAsia="Times New Roman" w:hAnsi="Times New Roman"/>
          <w:sz w:val="18"/>
          <w:szCs w:val="18"/>
          <w:b w:val="1"/>
          <w:bCs w:val="1"/>
          <w:color w:val="auto"/>
        </w:rPr>
      </w:pPr>
    </w:p>
    <w:p>
      <w:pPr>
        <w:jc w:val="both"/>
        <w:ind w:right="20" w:firstLine="656"/>
        <w:spacing w:after="0" w:line="263" w:lineRule="auto"/>
        <w:tabs>
          <w:tab w:leader="none" w:pos="101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jc w:val="both"/>
        <w:ind w:firstLine="8"/>
        <w:spacing w:after="0" w:line="252" w:lineRule="auto"/>
        <w:tabs>
          <w:tab w:leader="none" w:pos="2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951"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jc w:val="both"/>
        <w:ind w:firstLine="656"/>
        <w:spacing w:after="0" w:line="252" w:lineRule="auto"/>
        <w:tabs>
          <w:tab w:leader="none" w:pos="97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 DTC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satisfactory to the Custodian,</w:t>
      </w:r>
    </w:p>
    <w:p>
      <w:pPr>
        <w:spacing w:after="0" w:line="3" w:lineRule="exact"/>
        <w:rPr>
          <w:sz w:val="20"/>
          <w:szCs w:val="20"/>
          <w:color w:val="auto"/>
        </w:rPr>
      </w:pPr>
    </w:p>
    <w:p>
      <w:pPr>
        <w:jc w:val="both"/>
        <w:ind w:firstLine="8"/>
        <w:spacing w:after="0" w:line="250" w:lineRule="auto"/>
        <w:tabs>
          <w:tab w:leader="none" w:pos="2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the case of Shares represented by certificates in bearer form, </w:t>
      </w:r>
      <w:r>
        <w:rPr>
          <w:rFonts w:ascii="Times New Roman" w:cs="Times New Roman" w:eastAsia="Times New Roman" w:hAnsi="Times New Roman"/>
          <w:sz w:val="18"/>
          <w:szCs w:val="18"/>
          <w:color w:val="auto"/>
        </w:rPr>
        <w:t>the requisite coupons and talons pertaining thereto, and (iii)</w:t>
      </w:r>
      <w:r>
        <w:rPr>
          <w:rFonts w:ascii="Times New Roman" w:cs="Times New Roman" w:eastAsia="Times New Roman" w:hAnsi="Times New Roman"/>
          <w:sz w:val="18"/>
          <w:szCs w:val="18"/>
          <w:i w:val="1"/>
          <w:iCs w:val="1"/>
          <w:color w:val="auto"/>
        </w:rPr>
        <w:t xml:space="preserve"> in the case of 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book-entry settlement entity, as applicable, 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2.5 </w:t>
      </w:r>
      <w:r>
        <w:rPr>
          <w:rFonts w:ascii="Times New Roman" w:cs="Times New Roman" w:eastAsia="Times New Roman" w:hAnsi="Times New Roman"/>
          <w:sz w:val="17"/>
          <w:szCs w:val="17"/>
          <w:b w:val="1"/>
          <w:bCs w:val="1"/>
          <w:u w:val="single" w:color="auto"/>
          <w:color w:val="auto"/>
        </w:rPr>
        <w:t>Issuance of ADSs</w:t>
      </w:r>
      <w:r>
        <w:rPr>
          <w:rFonts w:ascii="Times New Roman" w:cs="Times New Roman" w:eastAsia="Times New Roman" w:hAnsi="Times New Roman"/>
          <w:sz w:val="17"/>
          <w:szCs w:val="17"/>
          <w:color w:val="auto"/>
        </w:rPr>
        <w:t>. The Depositary has made arrangements with the Custodian for the Custodian to confirm to the Depositary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w:t>
      </w:r>
    </w:p>
    <w:p>
      <w:pPr>
        <w:spacing w:after="0" w:line="11" w:lineRule="exact"/>
        <w:rPr>
          <w:sz w:val="20"/>
          <w:szCs w:val="20"/>
          <w:color w:val="auto"/>
        </w:rPr>
      </w:pPr>
    </w:p>
    <w:p>
      <w:pPr>
        <w:jc w:val="both"/>
        <w:ind w:right="20" w:firstLine="8"/>
        <w:spacing w:after="0" w:line="255" w:lineRule="auto"/>
        <w:tabs>
          <w:tab w:leader="none" w:pos="2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process such ADS conversion to the extent the Depositary has to the extent applicable instructed the Custodian to transfer the corresponding Shares from and into the applicable custody accounts maintained for the applicable ADS series. The Depositary shall only issue ADSs in whole numbers and deliver, if applicable, ADR(s) evidencing whole numbers of ADSs.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4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as promptly as commercially practicable register the transfer of ADRs (and of the ADSs represented thereby)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as promptly as commercially practicable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ADS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5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as promptly as commercially practicable register the split-up or combination of ADRs (and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ADSs represented thereby) on the books maintained for such purpose and the Depositary shall as promptly as commercially practicable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 Custodian’s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as promptly as commercially practicable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jc w:val="both"/>
        <w:ind w:firstLine="656"/>
        <w:spacing w:after="0" w:line="269" w:lineRule="auto"/>
        <w:tabs>
          <w:tab w:leader="none" w:pos="948" w:val="left"/>
        </w:tabs>
        <w:numPr>
          <w:ilvl w:val="1"/>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Requirements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condition precedent to the execution and Delivery, the registration of issuance, transfer, split-up, combination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(ii) the production of proof reasonably satisfactory to it as to the identity and genuineness of any signature or any other matter contemplated by Section 3.1, and (iii) compliance with</w:t>
      </w:r>
    </w:p>
    <w:p>
      <w:pPr>
        <w:spacing w:after="0" w:line="3"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or governmental regulations relating to the execution and Delivery of ADRs or ADSs or to the withdrawal of Deposited Securities and</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2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both"/>
        <w:ind w:firstLine="656"/>
        <w:spacing w:after="0" w:line="256" w:lineRule="auto"/>
        <w:tabs>
          <w:tab w:leader="none" w:pos="102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6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w:t>
      </w:r>
    </w:p>
    <w:p>
      <w:pPr>
        <w:jc w:val="both"/>
        <w:ind w:firstLine="8"/>
        <w:spacing w:after="0" w:line="253"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(i)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w:t>
      </w:r>
    </w:p>
    <w:p>
      <w:pPr>
        <w:jc w:val="both"/>
        <w:ind w:firstLine="8"/>
        <w:spacing w:after="0" w:line="250" w:lineRule="auto"/>
        <w:tabs>
          <w:tab w:leader="none" w:pos="2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request of the Company, to the extent practicable, shall,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interested in such ADSs and the nature of such interest and various other matters, whether or not they are Holders and/or Beneficial Owners at the time of such request. The Depositary agrees to use its reasonable efforts to forward, upon the request of the Company, as promptly as commercially practicable, and at the Company’s expense, any such request from the Company to the Holders and to forward to the Company any such responses to such requests received by the Depositary.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the Deposit Agreement or any ADR(s)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Nothing herein shall be interpreted as obligating the Depositary or the Company to ensure compliance with the ownership restrictions described in this Section 3.5.</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Deposited Securities, the Company shall give notice thereof to the Depositary at least twenty (20) days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for determining the holders of Deposited Securities entitled to receive such distribution. Upon the timely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the Company shall give notice thereof to the Depositary at least twenty (20) days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forty-five (45) days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3" w:lineRule="auto"/>
        <w:tabs>
          <w:tab w:leader="none" w:pos="94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 subscribe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Shares, the Company shall give notice thereof to the Depositary at least forty-five (45) days prior to the proposed distribution specifying,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both"/>
        <w:ind w:firstLine="656"/>
        <w:spacing w:after="0" w:line="256" w:lineRule="auto"/>
        <w:tabs>
          <w:tab w:leader="none" w:pos="97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3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 arrange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sale of the rights upon the terms described in Section 4.4(b), the Depositary shall allow such rights to lapse.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Distributions Other Than Cash, Shares or Rights to Purchase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975"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71"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91"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9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1"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give notice thereof to the Depositary at least forty-five (45)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reasonably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 dividends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as in effect on the date of the Deposit Agreement, voting at any meeting of shareholders of the Company must be decided on a poll vote.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and the provisions of the Deposited Securities, to vote, or cause the Custodian to vote, the Deposited Securities (in person or by proxy) represented by such Holder’s ADSs in accordance with the voting instructions timely received from the Holders of ADSs. If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contemplated in this Section 4.10). Neither the Depositary nor the Custodian shall under any circumstances exercise any discretion as to voting and neither the Depositary nor the Custodian shall vote, attempt to exercise the right to vote, or in any way make use of, save for purposes of establishing a quorum,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required by Cayman Island law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as promptly as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addresses and holdings of ADSs of all Holders.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None of the Company, the Depositary or the Custodian shall be liable for the failure by any Holder or Beneficial Owner to obtain the benefits of credits on the basis of non-U.S. tax paid against such Holder’s or Beneficial Owner’s income tax liability.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Neither the Company nor the Depositary shall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(whereupon the Depositary shall notify the Company).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interests in the Deposited Property (or the manner in which such interests are acquired or held),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 worthiness of any third party, for allowing any rights to lapse upon the terms of the Deposit Agreement, for the failure or timeliness of any notice from the Company, for the manner in which a Holder or Beneficial Owner elects to own and/or hold ADSs (e.g., in a brokerage account vs. as registered Holder on the register of ADSs maintained by the Depositary), the type of ADSs a Holder or Beneficial Owner holds or owns (e.g., freely transferable ADSs vs. Restricted ADSs, and/or Full Entitlement ADSs vs. Partial Entitlement ADSs), the timeframe of issuance and ownership of ADSs (e.g., as of an ADS Record Date vs. before and/or after an ADS Record Date), or for any action of or failure to act by, or any information provided or not provided by, DTC or any DTC Participant.</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40" w:hanging="232"/>
        <w:spacing w:after="0"/>
        <w:tabs>
          <w:tab w:leader="none" w:pos="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 Hong Kong as Custodian for the purpose of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will also transmit to the Depositary (a) an English-language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made available to the Depositary and the Custodian a copy of the Articles of Association in effect as at the date of the Deposit Agreement along with the provisions of or governing the Shares and any other Deposited Securities issued by the Company in connection with such Shares, and promptly upon any amendment thereto or change therein, the Company shall make available to the Depositary and the Custodian a copy of such amendment thereto or change therein. The Depositary may rely upon such copy for all purposes of the Deposit Agreement.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both"/>
        <w:spacing w:after="0" w:line="252" w:lineRule="auto"/>
        <w:rPr>
          <w:sz w:val="20"/>
          <w:szCs w:val="20"/>
          <w:color w:val="auto"/>
        </w:rPr>
      </w:pPr>
      <w:r>
        <w:rPr>
          <w:rFonts w:ascii="Times New Roman" w:cs="Times New Roman" w:eastAsia="Times New Roman" w:hAnsi="Times New Roman"/>
          <w:sz w:val="18"/>
          <w:szCs w:val="18"/>
          <w:color w:val="auto"/>
        </w:rPr>
        <w:t>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or any of their respective directors, officers, employees, agents and Affiliates against any liability or expense arising out of the information relating to the Depositary or such Custodian, as the case may be, furnished in a writing to the Company, by the Depositary or such Custodian expressly for use in any registration statement, prospectus or preliminary prospectus relating to any Deposited Securities represented by the ADSs.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Any failure by the Company to timely pay any fees, charges and reimbursements of the Depositary for which the Company is responsible pursuant to the Deposit Agreement, or any ancillary agreement between the Depositary and the Company, may suspend the obligation of the Depositary to provide the services contemplated in the Deposit Agreement at the expense of the Company (including services being made available to Holders and Beneficial Owners), and the Depositary shall have no obligation to provide any such services made available at the Company’s expense (including services being made available to Holders and Beneficial Owners) unless and until payment has been made in full by the Company. Unless otherwise agreed, the Depositary shall present its statement for such fees, charges and reimbursements to the Company once every three months. The charges and expenses of the Custodian are for the sole account of the Depositary.</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Company, Holders and Beneficial Owners to pay ADS fees, charges and reimbursements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jc w:val="both"/>
        <w:ind w:firstLine="8"/>
        <w:spacing w:after="0" w:line="252" w:lineRule="auto"/>
        <w:tabs>
          <w:tab w:leader="none" w:pos="27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7" w:name="page98"/>
    <w:bookmarkEnd w:id="9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ADS fees and charges of, and reimbursement of the applicable expenses incurred by, the Depositary.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Termination Date, the Company shall be discharged from all obligations under the Deposit Agreement, except for its obligations to the Depositary under Sections 5.8, 5.9, 6.2,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5" w:lineRule="exact"/>
        <w:rPr>
          <w:sz w:val="20"/>
          <w:szCs w:val="20"/>
          <w:color w:val="auto"/>
        </w:rPr>
      </w:pPr>
    </w:p>
    <w:p>
      <w:pPr>
        <w:jc w:val="both"/>
        <w:ind w:firstLine="8"/>
        <w:spacing w:after="0" w:line="251" w:lineRule="auto"/>
        <w:tabs>
          <w:tab w:leader="none" w:pos="31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8" w:name="page99"/>
    <w:bookmarkEnd w:id="9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mail, air courier or cable, telex or facsimile transmission, confirmed by letter personally delivered or sent by mail or air courier, addressed to No. 26, Gaoxin Second Road, Jiangxia District, Wuhan, Hubei, China (Wuhan Xingjingweiwu Culture &amp; Sports Development Co., Ltd.),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Heng Zhang, or to any other address which the Company may specify in writing to the Depositary.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and all notices to be given to any Holder shall be deemed to have been duly given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hereby irrevocably designates, appoints and empowers Cogency Global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3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jc w:val="both"/>
        <w:ind w:firstLine="8"/>
        <w:spacing w:after="0" w:line="252" w:lineRule="auto"/>
        <w:tabs>
          <w:tab w:leader="none" w:pos="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9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5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Cayman Islands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the laws and regulations of the Cayman Islands and of the terms of the Articles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Titles and References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6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2" w:name="page103"/>
    <w:bookmarkEnd w:id="102"/>
    <w:p>
      <w:pPr>
        <w:jc w:val="both"/>
        <w:ind w:firstLine="656"/>
        <w:spacing w:after="0" w:line="254" w:lineRule="auto"/>
        <w:tabs>
          <w:tab w:leader="none" w:pos="98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 paragraphs,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NIP GROUP INC.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7"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8780" w:type="dxa"/>
            <w:vAlign w:val="bottom"/>
          </w:tcPr>
          <w:p>
            <w:pPr>
              <w:ind w:left="6740"/>
              <w:spacing w:after="0"/>
              <w:rPr>
                <w:sz w:val="20"/>
                <w:szCs w:val="20"/>
                <w:color w:val="auto"/>
              </w:rPr>
            </w:pPr>
            <w:r>
              <w:rPr>
                <w:rFonts w:ascii="Times New Roman" w:cs="Times New Roman" w:eastAsia="Times New Roman" w:hAnsi="Times New Roman"/>
                <w:sz w:val="18"/>
                <w:szCs w:val="18"/>
                <w:color w:val="auto"/>
                <w:w w:val="98"/>
              </w:rPr>
              <w:t>CUSIP NUMBER: _______</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878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Depositary Share representing the right to</w:t>
            </w: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87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receive two (2) fully paid Class A ordinary</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87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DEPOSITED CLASS A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NIP GROUP INC.</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jc w:val="both"/>
        <w:spacing w:after="0" w:line="253" w:lineRule="auto"/>
        <w:rPr>
          <w:sz w:val="20"/>
          <w:szCs w:val="20"/>
          <w:color w:val="auto"/>
        </w:rPr>
      </w:pPr>
      <w:r>
        <w:rPr>
          <w:rFonts w:ascii="Times New Roman" w:cs="Times New Roman" w:eastAsia="Times New Roman" w:hAnsi="Times New Roman"/>
          <w:sz w:val="18"/>
          <w:szCs w:val="18"/>
          <w:color w:val="auto"/>
        </w:rPr>
        <w:t>deposited Class A ordinary shares, including evidence of rights to receive such Class A ordinary shares (the “Shares”), of NIP Group Inc., a Cayman Islands exempted company, and its successors (the “Company”). As of the date of issuance of this ADR, each ADS represents the right to receive two (2) Share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jc w:val="both"/>
        <w:ind w:firstLine="656"/>
        <w:spacing w:after="0" w:line="253" w:lineRule="auto"/>
        <w:tabs>
          <w:tab w:leader="none" w:pos="948"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July 25, 2024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Delivery (at the Custodian’s designated office) of the Deposited Securities at the time represented by the ADSs evidenced hereby upon satisfaction of each of the following conditions: (i) the Holder (or a duly-authorized attorney of the Holder) has duly Delivered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the applicable book-entry settlement entity, and to any provisions of or governing the Deposited Securities, in each case as in effect at the time thereof.</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6" w:name="page107"/>
    <w:bookmarkEnd w:id="10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as promptly as commercially practicable,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the applicable book-entry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7" w:name="page108"/>
    <w:bookmarkEnd w:id="107"/>
    <w:p>
      <w:pPr>
        <w:jc w:val="both"/>
        <w:ind w:firstLine="656"/>
        <w:spacing w:after="0" w:line="263" w:lineRule="auto"/>
        <w:tabs>
          <w:tab w:leader="none" w:pos="948"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as promptly as commercially practicable register the transfer of this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 the ADSs represented hereby) on the books maintained for such purpose and the Depositary shall as promptly as commercially practicable</w:t>
      </w: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this ADR and execute new ADRs evidencing the same aggregate number of ADSs as those evidenced by this ADR canceled by the Depositary,</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Registrar shall as promptly as commercially practicable register the split-up or combination of this ADR (and of the ADSs represented hereby) on the books maintained for such purpose and the Depositary shall as promptly as commercially practicable (x) cancel this ADR and execute new ADRs for the number of ADSs requested, but in the aggregate not exceeding the number of ADSs evidenced by this ADR canceled by the Depositary,</w:t>
      </w:r>
    </w:p>
    <w:p>
      <w:pPr>
        <w:spacing w:after="0" w:line="1" w:lineRule="exact"/>
        <w:rPr>
          <w:sz w:val="20"/>
          <w:szCs w:val="20"/>
          <w:color w:val="auto"/>
        </w:rPr>
      </w:pPr>
    </w:p>
    <w:p>
      <w:pPr>
        <w:jc w:val="both"/>
        <w:ind w:firstLine="8"/>
        <w:spacing w:after="0" w:line="252"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thereof.</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8" w:name="page109"/>
    <w:bookmarkEnd w:id="108"/>
    <w:p>
      <w:pPr>
        <w:jc w:val="both"/>
        <w:ind w:firstLine="656"/>
        <w:spacing w:after="0" w:line="254" w:lineRule="auto"/>
        <w:tabs>
          <w:tab w:leader="none" w:pos="94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jc w:val="both"/>
        <w:ind w:firstLine="656"/>
        <w:spacing w:after="0" w:line="255" w:lineRule="auto"/>
        <w:tabs>
          <w:tab w:leader="none" w:pos="988"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as promptly as commercially practicable, and at the Company’s expense, any such request from the Company to the Holders and to forward to the Company any such responses to such requests received by the Depositary.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9" w:name="page110"/>
    <w:bookmarkEnd w:id="109"/>
    <w:p>
      <w:pPr>
        <w:jc w:val="both"/>
        <w:ind w:firstLine="656"/>
        <w:spacing w:after="0" w:line="254" w:lineRule="auto"/>
        <w:tabs>
          <w:tab w:leader="none" w:pos="100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61"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48"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both"/>
        <w:ind w:firstLine="656"/>
        <w:spacing w:after="0" w:line="254" w:lineRule="auto"/>
        <w:tabs>
          <w:tab w:leader="none" w:pos="100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7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request of the Company, to the extent practicable, shall,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1" w:name="page112"/>
    <w:bookmarkEnd w:id="111"/>
    <w:p>
      <w:pPr>
        <w:ind w:left="1100" w:hanging="444"/>
        <w:spacing w:after="0"/>
        <w:tabs>
          <w:tab w:leader="none" w:pos="11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(some of which may be cumulative) are payable under the terms of the Deposit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ADS conversions, or for any other reason), excluding issuances as a result of distributions described in paragraph (iv) below, a fee not in excess of U.S. $5.00 per 100 ADSs (or fraction thereof) issued under the terms of the Deposit Agreement;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ADS conversions, upon termination of the Deposit Agreement,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2" w:name="page113"/>
    <w:bookmarkEnd w:id="112"/>
    <w:p>
      <w:pPr>
        <w:jc w:val="both"/>
        <w:ind w:left="1960" w:hanging="656"/>
        <w:spacing w:after="0" w:line="266"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termination of the Deposit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3" w:name="page114"/>
    <w:bookmarkEnd w:id="113"/>
    <w:p>
      <w:pPr>
        <w:ind w:left="1960" w:hanging="656"/>
        <w:spacing w:after="0" w:line="282" w:lineRule="auto"/>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4" w:name="page115"/>
    <w:bookmarkEnd w:id="1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Any failure by the Company to timely pay any fees, charges and reimbursements of the Depositary for which the Company is responsible pursuant to the Deposit Agreement, or any ancillary agreement between the Depositary and the Company, may suspend the obligation of the Depositary to provide the services contemplated in the Deposit Agreement at the expense of the Company (including services being made available to Holders and Beneficial Owners), and the Depositary shall have no obligation to provide any such services made available at the Company’s expense (including services being made available to Holders and Beneficial Owners) unless and until payment has been made in full by the Company. Unless otherwise agreed, the Depositary shall present its statement for such fees, charges and reimbursements to the Company once every three months. The charges and expenses of the Custodian are for the sole account of the Depositary.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Company, Holders and Beneficial Owners to pay ADS fees, charges and reimbursements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6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5" w:name="page116"/>
    <w:bookmarkEnd w:id="115"/>
    <w:p>
      <w:pPr>
        <w:jc w:val="both"/>
        <w:ind w:firstLine="656"/>
        <w:spacing w:after="0" w:line="256" w:lineRule="auto"/>
        <w:tabs>
          <w:tab w:leader="none" w:pos="106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7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commercially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jc w:val="both"/>
        <w:ind w:firstLine="656"/>
        <w:spacing w:after="0" w:line="254" w:lineRule="auto"/>
        <w:tabs>
          <w:tab w:leader="none" w:pos="1051"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w:t>
      </w:r>
    </w:p>
    <w:p>
      <w:pPr>
        <w:spacing w:after="0" w:line="3"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and unless previously established, establish the ADS Record Date upon the terms described in Section 4.9 of the Deposit Agreement, and</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promptly the amount thus received (net of (a) the applicable fees and charges set forth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7" w:name="page118"/>
    <w:bookmarkEnd w:id="117"/>
    <w:p>
      <w:pPr>
        <w:jc w:val="both"/>
        <w:ind w:firstLine="656"/>
        <w:spacing w:after="0" w:line="254" w:lineRule="auto"/>
        <w:tabs>
          <w:tab w:leader="none" w:pos="9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8" w:name="page119"/>
    <w:bookmarkEnd w:id="118"/>
    <w:p>
      <w:pPr>
        <w:jc w:val="both"/>
        <w:ind w:firstLine="656"/>
        <w:spacing w:after="0" w:line="252" w:lineRule="auto"/>
        <w:tabs>
          <w:tab w:leader="none" w:pos="8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upon the terms described in Section 4.1 of the Deposit Agreement or (y) 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reasonably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jc w:val="both"/>
        <w:ind w:firstLine="656"/>
        <w:spacing w:after="0" w:line="254" w:lineRule="auto"/>
        <w:tabs>
          <w:tab w:leader="none" w:pos="8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Section 4.1 of the Deposit Agreement. If the Depositary is unable to sell such property, the Depositary may dispose of such property for the account of the Holders in any way it deems reasonably practicable under the circumstances.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reasonably determining that such proposed redemption is practicable, the Depositary shall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1" w:name="page122"/>
    <w:bookmarkEnd w:id="121"/>
    <w:p>
      <w:pPr>
        <w:jc w:val="both"/>
        <w:ind w:firstLine="656"/>
        <w:spacing w:after="0" w:line="253" w:lineRule="auto"/>
        <w:tabs>
          <w:tab w:leader="none" w:pos="107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2" w:name="page123"/>
    <w:bookmarkEnd w:id="1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as in effect on the date of the Deposit Agreement, voting at any meeting of shareholders of the Company must be decided on a poll vote.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and the provisions of the Deposited Securities, to vote, or cause the Custodian to vote, the Deposited Securities (in person or by proxy) represented by such Holder’s ADSs in accordance with the voting instructions timely received from the Holders of ADSs. If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save for purposes of establishing a quorum,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required by Cayman Island law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158" w:lineRule="exact"/>
        <w:rPr>
          <w:sz w:val="20"/>
          <w:szCs w:val="20"/>
          <w:color w:val="auto"/>
        </w:rPr>
      </w:pPr>
    </w:p>
    <w:p>
      <w:pPr>
        <w:jc w:val="both"/>
        <w:ind w:firstLine="656"/>
        <w:spacing w:after="0" w:line="252" w:lineRule="auto"/>
        <w:tabs>
          <w:tab w:leader="none" w:pos="109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4" w:name="page125"/>
    <w:bookmarkEnd w:id="124"/>
    <w:p>
      <w:pPr>
        <w:jc w:val="both"/>
        <w:ind w:firstLine="656"/>
        <w:spacing w:after="0" w:line="251" w:lineRule="auto"/>
        <w:tabs>
          <w:tab w:leader="none" w:pos="1038"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w:t>
      </w:r>
    </w:p>
    <w:p>
      <w:pPr>
        <w:spacing w:after="0" w:line="13"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5" w:name="page126"/>
    <w:bookmarkEnd w:id="125"/>
    <w:p>
      <w:pPr>
        <w:jc w:val="both"/>
        <w:ind w:firstLine="656"/>
        <w:spacing w:after="0" w:line="255" w:lineRule="auto"/>
        <w:tabs>
          <w:tab w:leader="none" w:pos="107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interests in the Deposited Property (or the manner in which such interests are acquired or held),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 worthiness of any third party, for allowing any rights to lapse upon the terms of the Deposit Agreement, for the failure or timeliness of any notice from the Company, for the manner in which a Holder or Beneficial Owner elects to own and/or hold ADSs (e.g., in a brokerage account vs. as registered Holder on the register of ADSs maintained by the Depositary), the type of ADSs a Holder or Beneficial Owner holds or owns (e.g., freely transferable ADSs vs. Restricted ADSs, and/or Full Entitlement ADSs vs. Partial Entitlement ADSs), the timeframe of issuance and ownership of ADSs (e.g., as of an ADS Record Date vs. before and/or after an ADS Record Date), or for any action of or failure to act by, or any information provided or not provided by, DTC or any DTC Participant.</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52" w:lineRule="auto"/>
        <w:tabs>
          <w:tab w:leader="none" w:pos="1119"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7" w:name="page128"/>
    <w:bookmarkEnd w:id="127"/>
    <w:p>
      <w:pPr>
        <w:jc w:val="both"/>
        <w:ind w:firstLine="656"/>
        <w:spacing w:after="0" w:line="252" w:lineRule="auto"/>
        <w:tabs>
          <w:tab w:leader="none" w:pos="110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8" w:name="page129"/>
    <w:bookmarkEnd w:id="128"/>
    <w:p>
      <w:pPr>
        <w:jc w:val="both"/>
        <w:ind w:firstLine="656"/>
        <w:spacing w:after="0" w:line="263" w:lineRule="auto"/>
        <w:tabs>
          <w:tab w:leader="none" w:pos="1065"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Depositary shall not, after the Termination Date, have any obligation to perform any further acts under the Deposit Agreement, except that the Depositary shall, subject, in each case, to the terms and conditions of the Deposit Agreement, continue to</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ADS fees and charges of, and reimbursement of the applicable expenses incurred by,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9" w:name="page130"/>
    <w:bookmarkEnd w:id="1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Termination Date, the Company shall be discharged from all obligations under the Deposit Agreement, except for its obligations to the Depositary under Sections 5.8, 5.9, 6.2,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9" w:lineRule="exact"/>
        <w:rPr>
          <w:sz w:val="20"/>
          <w:szCs w:val="20"/>
          <w:color w:val="auto"/>
        </w:rPr>
      </w:pPr>
    </w:p>
    <w:p>
      <w:pPr>
        <w:jc w:val="both"/>
        <w:ind w:firstLine="656"/>
        <w:spacing w:after="0" w:line="268" w:lineRule="auto"/>
        <w:tabs>
          <w:tab w:leader="none" w:pos="109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9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0" w:name="page131"/>
    <w:bookmarkEnd w:id="130"/>
    <w:p>
      <w:pPr>
        <w:jc w:val="both"/>
        <w:ind w:firstLine="656"/>
        <w:spacing w:after="0" w:line="257" w:lineRule="auto"/>
        <w:tabs>
          <w:tab w:leader="none" w:pos="105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58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Name:</w:t>
            </w:r>
          </w:p>
        </w:tc>
      </w:tr>
      <w:tr>
        <w:trPr>
          <w:trHeight w:val="191"/>
        </w:trPr>
        <w:tc>
          <w:tcPr>
            <w:tcW w:w="3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NOTICE: The signature of the Holder to this assignment</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the within instrument in every particular, without alteration</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or enlargement or any change whatsoever.</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9" w:lineRule="exact"/>
        <w:rPr>
          <w:sz w:val="20"/>
          <w:szCs w:val="20"/>
          <w:color w:val="auto"/>
        </w:rPr>
      </w:pPr>
    </w:p>
    <w:p>
      <w:pPr>
        <w:ind w:left="6820"/>
        <w:spacing w:after="0"/>
        <w:tabs>
          <w:tab w:leader="none" w:pos="7180" w:val="left"/>
          <w:tab w:leader="none" w:pos="8320" w:val="left"/>
          <w:tab w:leader="none" w:pos="8620" w:val="left"/>
          <w:tab w:leader="none" w:pos="9660" w:val="left"/>
          <w:tab w:leader="none" w:pos="9940" w:val="left"/>
          <w:tab w:leader="none" w:pos="10540" w:val="left"/>
          <w:tab w:leader="none" w:pos="11040" w:val="left"/>
        </w:tabs>
        <w:rPr>
          <w:sz w:val="20"/>
          <w:szCs w:val="20"/>
          <w:color w:val="auto"/>
        </w:rPr>
      </w:pPr>
      <w:r>
        <w:rPr>
          <w:rFonts w:ascii="Times New Roman" w:cs="Times New Roman" w:eastAsia="Times New Roman" w:hAnsi="Times New Roman"/>
          <w:sz w:val="18"/>
          <w:szCs w:val="18"/>
          <w:color w:val="auto"/>
        </w:rPr>
        <w:t>All</w:t>
        <w:tab/>
        <w:t>endorsements</w:t>
        <w:tab/>
        <w:t>or</w:t>
        <w:tab/>
        <w:t>assignments</w:t>
        <w:tab/>
        <w:t>of</w:t>
        <w:tab/>
        <w:t>ADRs</w:t>
        <w:tab/>
        <w:t>must</w:t>
        <w:tab/>
        <w:t>be</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560" w:hanging="552"/>
        <w:spacing w:after="0"/>
        <w:tabs>
          <w:tab w:leader="none" w:pos="5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(some of which may be cumulative)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ratio, ADS conversions, or for any other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reason), excluding issuances as a result of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described in 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ADS</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conversions,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Agreement,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52"/>
        </w:trPr>
        <w:tc>
          <w:tcPr>
            <w:tcW w:w="30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financial instruments, including,</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without limitation,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and contingent value rights).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00" w:type="dxa"/>
            <w:vAlign w:val="bottom"/>
            <w:tcBorders>
              <w:lef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for unsponsored American Depositary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(e.g.,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ind w:left="560" w:hanging="552"/>
        <w:spacing w:after="0"/>
        <w:tabs>
          <w:tab w:leader="none" w:pos="5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560" w:hanging="552"/>
        <w:spacing w:after="0"/>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SWIFT cable, telex and facsimile transmission and delivery expenses as are expressly provided in the Deposit Agreement to be at the expense of (x) the person depositing Shares or withdrawing Deposited Property or (y)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 and may be assessed cumulatively based on cumulative functions of services rendered.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decimal"/>
      <w:start w:val="1"/>
    </w:lvl>
  </w:abstractNum>
  <w:abstractNum w:abstractNumId="2">
    <w:nsid w:val="180115BE"/>
    <w:multiLevelType w:val="hybridMultilevel"/>
    <w:lvl w:ilvl="0">
      <w:lvlJc w:val="left"/>
      <w:lvlText w:val="(%1)"/>
      <w:numFmt w:val="lowerRoman"/>
      <w:start w:val="1"/>
    </w:lvl>
  </w:abstractNum>
  <w:abstractNum w:abstractNumId="3">
    <w:nsid w:val="235BA861"/>
    <w:multiLevelType w:val="hybridMultilevel"/>
    <w:lvl w:ilvl="0">
      <w:lvlJc w:val="left"/>
      <w:lvlText w:val="(%1)"/>
      <w:numFmt w:val="lowerLetter"/>
      <w:start w:val="2"/>
    </w:lvl>
  </w:abstractNum>
  <w:abstractNum w:abstractNumId="4">
    <w:nsid w:val="47398C89"/>
    <w:multiLevelType w:val="hybridMultilevel"/>
    <w:lvl w:ilvl="0">
      <w:lvlJc w:val="left"/>
      <w:lvlText w:val="(%1)"/>
      <w:numFmt w:val="lowerLetter"/>
      <w:start w:val="1"/>
    </w:lvl>
  </w:abstractNum>
  <w:abstractNum w:abstractNumId="5">
    <w:nsid w:val="354FE9F9"/>
    <w:multiLevelType w:val="hybridMultilevel"/>
    <w:lvl w:ilvl="0">
      <w:lvlJc w:val="left"/>
      <w:lvlText w:val="(%1)"/>
      <w:numFmt w:val="lowerRoman"/>
      <w:start w:val="2"/>
    </w:lvl>
  </w:abstractNum>
  <w:abstractNum w:abstractNumId="6">
    <w:nsid w:val="15B5AF5C"/>
    <w:multiLevelType w:val="hybridMultilevel"/>
    <w:lvl w:ilvl="0">
      <w:lvlJc w:val="left"/>
      <w:lvlText w:val="(%1)"/>
      <w:numFmt w:val="lowerLetter"/>
      <w:start w:val="1"/>
    </w:lvl>
  </w:abstractNum>
  <w:abstractNum w:abstractNumId="7">
    <w:nsid w:val="741226BB"/>
    <w:multiLevelType w:val="hybridMultilevel"/>
    <w:lvl w:ilvl="0">
      <w:lvlJc w:val="left"/>
      <w:lvlText w:val="(%1)"/>
      <w:numFmt w:val="lowerLetter"/>
      <w:start w:val="2"/>
    </w:lvl>
  </w:abstractNum>
  <w:abstractNum w:abstractNumId="8">
    <w:nsid w:val="D34B6A8"/>
    <w:multiLevelType w:val="hybridMultilevel"/>
    <w:lvl w:ilvl="0">
      <w:lvlJc w:val="left"/>
      <w:lvlText w:val="(%1)"/>
      <w:numFmt w:val="lowerLetter"/>
      <w:start w:val="3"/>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decimal"/>
      <w:start w:val="1"/>
    </w:lvl>
  </w:abstractNum>
  <w:abstractNum w:abstractNumId="11">
    <w:nsid w:val="61574095"/>
    <w:multiLevelType w:val="hybridMultilevel"/>
    <w:lvl w:ilvl="0">
      <w:lvlJc w:val="left"/>
      <w:lvlText w:val="(%1)"/>
      <w:numFmt w:val="decimal"/>
      <w:start w:val="2"/>
    </w:lvl>
  </w:abstractNum>
  <w:abstractNum w:abstractNumId="12">
    <w:nsid w:val="7E0C57B1"/>
    <w:multiLevelType w:val="hybridMultilevel"/>
    <w:lvl w:ilvl="0">
      <w:lvlJc w:val="left"/>
      <w:lvlText w:val="%1"/>
      <w:numFmt w:val="lowerLetter"/>
      <w:start w:val="1"/>
    </w:lvl>
    <w:lvl w:ilvl="1">
      <w:lvlJc w:val="left"/>
      <w:lvlText w:val="(%2)"/>
      <w:numFmt w:val="decimal"/>
      <w:start w:val="3"/>
    </w:lvl>
  </w:abstractNum>
  <w:abstractNum w:abstractNumId="13">
    <w:nsid w:val="77AE35EB"/>
    <w:multiLevelType w:val="hybridMultilevel"/>
    <w:lvl w:ilvl="0">
      <w:lvlJc w:val="left"/>
      <w:lvlText w:val="(%1)"/>
      <w:numFmt w:val="lowerLetter"/>
      <w:start w:val="24"/>
    </w:lvl>
    <w:lvl w:ilvl="1">
      <w:lvlJc w:val="left"/>
      <w:lvlText w:val="%2"/>
      <w:numFmt w:val="decimal"/>
      <w:start w:val="1"/>
    </w:lvl>
  </w:abstractNum>
  <w:abstractNum w:abstractNumId="14">
    <w:nsid w:val="579BE4F1"/>
    <w:multiLevelType w:val="hybridMultilevel"/>
    <w:lvl w:ilvl="0">
      <w:lvlJc w:val="left"/>
      <w:lvlText w:val="(%1)"/>
      <w:numFmt w:val="decimal"/>
      <w:start w:val="4"/>
    </w:lvl>
  </w:abstractNum>
  <w:abstractNum w:abstractNumId="15">
    <w:nsid w:val="310C50B3"/>
    <w:multiLevelType w:val="hybridMultilevel"/>
    <w:lvl w:ilvl="0">
      <w:lvlJc w:val="left"/>
      <w:lvlText w:val="(%1)"/>
      <w:numFmt w:val="decimal"/>
      <w:start w:val="5"/>
    </w:lvl>
  </w:abstractNum>
  <w:abstractNum w:abstractNumId="16">
    <w:nsid w:val="5FF87E05"/>
    <w:multiLevelType w:val="hybridMultilevel"/>
    <w:lvl w:ilvl="0">
      <w:lvlJc w:val="left"/>
      <w:lvlText w:val="(%1)"/>
      <w:numFmt w:val="decimal"/>
      <w:start w:val="6"/>
    </w:lvl>
  </w:abstractNum>
  <w:abstractNum w:abstractNumId="17">
    <w:nsid w:val="2F305DEF"/>
    <w:multiLevelType w:val="hybridMultilevel"/>
    <w:lvl w:ilvl="0">
      <w:lvlJc w:val="left"/>
      <w:lvlText w:val="(%1)"/>
      <w:numFmt w:val="decimal"/>
      <w:start w:val="9"/>
    </w:lvl>
  </w:abstractNum>
  <w:abstractNum w:abstractNumId="18">
    <w:nsid w:val="25A70BF7"/>
    <w:multiLevelType w:val="hybridMultilevel"/>
    <w:lvl w:ilvl="0">
      <w:lvlJc w:val="left"/>
      <w:lvlText w:val="(%1)"/>
      <w:numFmt w:val="decimal"/>
      <w:start w:val="11"/>
    </w:lvl>
    <w:lvl w:ilvl="1">
      <w:lvlJc w:val="left"/>
      <w:lvlText w:val="(%2)"/>
      <w:numFmt w:val="lowerRoman"/>
      <w:start w:val="1"/>
    </w:lvl>
  </w:abstractNum>
  <w:abstractNum w:abstractNumId="19">
    <w:nsid w:val="1DBABF00"/>
    <w:multiLevelType w:val="hybridMultilevel"/>
    <w:lvl w:ilvl="0">
      <w:lvlJc w:val="left"/>
      <w:lvlText w:val="(%1)"/>
      <w:numFmt w:val="lowerRoman"/>
      <w:start w:val="7"/>
    </w:lvl>
  </w:abstractNum>
  <w:abstractNum w:abstractNumId="20">
    <w:nsid w:val="4AD084E9"/>
    <w:multiLevelType w:val="hybridMultilevel"/>
    <w:lvl w:ilvl="0">
      <w:lvlJc w:val="left"/>
      <w:lvlText w:val="(%1)"/>
      <w:numFmt w:val="decimal"/>
      <w:start w:val="12"/>
    </w:lvl>
  </w:abstractNum>
  <w:abstractNum w:abstractNumId="21">
    <w:nsid w:val="1F48EAA1"/>
    <w:multiLevelType w:val="hybridMultilevel"/>
    <w:lvl w:ilvl="0">
      <w:lvlJc w:val="left"/>
      <w:lvlText w:val="(%1)"/>
      <w:numFmt w:val="decimal"/>
      <w:start w:val="14"/>
    </w:lvl>
  </w:abstractNum>
  <w:abstractNum w:abstractNumId="22">
    <w:nsid w:val="1381823A"/>
    <w:multiLevelType w:val="hybridMultilevel"/>
    <w:lvl w:ilvl="0">
      <w:lvlJc w:val="left"/>
      <w:lvlText w:val="%1"/>
      <w:numFmt w:val="lowerRoman"/>
      <w:start w:val="1"/>
    </w:lvl>
    <w:lvl w:ilvl="1">
      <w:lvlJc w:val="left"/>
      <w:lvlText w:val="(%2)"/>
      <w:numFmt w:val="decimal"/>
      <w:start w:val="15"/>
    </w:lvl>
  </w:abstractNum>
  <w:abstractNum w:abstractNumId="23">
    <w:nsid w:val="5DB70AE5"/>
    <w:multiLevelType w:val="hybridMultilevel"/>
    <w:lvl w:ilvl="0">
      <w:lvlJc w:val="left"/>
      <w:lvlText w:val="(%1)"/>
      <w:numFmt w:val="lowerRoman"/>
      <w:start w:val="2"/>
    </w:lvl>
    <w:lvl w:ilvl="1">
      <w:lvlJc w:val="left"/>
      <w:lvlText w:val="%2"/>
      <w:numFmt w:val="decimal"/>
      <w:start w:val="1"/>
    </w:lvl>
  </w:abstractNum>
  <w:abstractNum w:abstractNumId="24">
    <w:nsid w:val="100F8FCA"/>
    <w:multiLevelType w:val="hybridMultilevel"/>
    <w:lvl w:ilvl="0">
      <w:lvlJc w:val="left"/>
      <w:lvlText w:val="(%1)"/>
      <w:numFmt w:val="lowerLetter"/>
      <w:start w:val="2"/>
    </w:lvl>
  </w:abstractNum>
  <w:abstractNum w:abstractNumId="25">
    <w:nsid w:val="6590700B"/>
    <w:multiLevelType w:val="hybridMultilevel"/>
    <w:lvl w:ilvl="0">
      <w:lvlJc w:val="left"/>
      <w:lvlText w:val="%1"/>
      <w:numFmt w:val="lowerLetter"/>
      <w:start w:val="1"/>
    </w:lvl>
    <w:lvl w:ilvl="1">
      <w:lvlJc w:val="left"/>
      <w:lvlText w:val="(%2)"/>
      <w:numFmt w:val="lowerLetter"/>
      <w:start w:val="3"/>
    </w:lvl>
  </w:abstractNum>
  <w:abstractNum w:abstractNumId="26">
    <w:nsid w:val="15014ACB"/>
    <w:multiLevelType w:val="hybridMultilevel"/>
    <w:lvl w:ilvl="0">
      <w:lvlJc w:val="left"/>
      <w:lvlText w:val="(%1)"/>
      <w:numFmt w:val="lowerLetter"/>
      <w:start w:val="24"/>
    </w:lvl>
    <w:lvl w:ilvl="1">
      <w:lvlJc w:val="left"/>
      <w:lvlText w:val="%2"/>
      <w:numFmt w:val="lowerLetter"/>
      <w:start w:val="1"/>
    </w:lvl>
  </w:abstractNum>
  <w:abstractNum w:abstractNumId="27">
    <w:nsid w:val="5F5E7FD0"/>
    <w:multiLevelType w:val="hybridMultilevel"/>
    <w:lvl w:ilvl="0">
      <w:lvlJc w:val="left"/>
      <w:lvlText w:val="(%1)"/>
      <w:numFmt w:val="lowerLetter"/>
      <w:start w:val="2"/>
    </w:lvl>
    <w:lvl w:ilvl="1">
      <w:lvlJc w:val="left"/>
      <w:lvlText w:val="%2"/>
      <w:numFmt w:val="lowerLetter"/>
      <w:start w:val="1"/>
    </w:lvl>
  </w:abstractNum>
  <w:abstractNum w:abstractNumId="28">
    <w:nsid w:val="98A3148"/>
    <w:multiLevelType w:val="hybridMultilevel"/>
    <w:lvl w:ilvl="0">
      <w:lvlJc w:val="left"/>
      <w:lvlText w:val="(%1)"/>
      <w:numFmt w:val="lowerLetter"/>
      <w:start w:val="5"/>
    </w:lvl>
  </w:abstractNum>
  <w:abstractNum w:abstractNumId="29">
    <w:nsid w:val="799D0247"/>
    <w:multiLevelType w:val="hybridMultilevel"/>
    <w:lvl w:ilvl="0">
      <w:lvlJc w:val="left"/>
      <w:lvlText w:val="(%1)"/>
      <w:numFmt w:val="lowerRoman"/>
      <w:start w:val="2"/>
    </w:lvl>
  </w:abstractNum>
  <w:abstractNum w:abstractNumId="30">
    <w:nsid w:val="6B94764"/>
    <w:multiLevelType w:val="hybridMultilevel"/>
    <w:lvl w:ilvl="0">
      <w:lvlJc w:val="left"/>
      <w:lvlText w:val="(%1)"/>
      <w:numFmt w:val="decimal"/>
      <w:start w:val="16"/>
    </w:lvl>
  </w:abstractNum>
  <w:abstractNum w:abstractNumId="31">
    <w:nsid w:val="42C296BD"/>
    <w:multiLevelType w:val="hybridMultilevel"/>
    <w:lvl w:ilvl="0">
      <w:lvlJc w:val="left"/>
      <w:lvlText w:val="(%1)"/>
      <w:numFmt w:val="decimal"/>
      <w:start w:val="17"/>
    </w:lvl>
  </w:abstractNum>
  <w:abstractNum w:abstractNumId="32">
    <w:nsid w:val="168E121F"/>
    <w:multiLevelType w:val="hybridMultilevel"/>
    <w:lvl w:ilvl="0">
      <w:lvlJc w:val="left"/>
      <w:lvlText w:val="(%1)"/>
      <w:numFmt w:val="decimal"/>
      <w:start w:val="19"/>
    </w:lvl>
  </w:abstractNum>
  <w:abstractNum w:abstractNumId="33">
    <w:nsid w:val="1EBA5D23"/>
    <w:multiLevelType w:val="hybridMultilevel"/>
    <w:lvl w:ilvl="0">
      <w:lvlJc w:val="left"/>
      <w:lvlText w:val="%1"/>
      <w:numFmt w:val="lowerRoman"/>
      <w:start w:val="1"/>
    </w:lvl>
    <w:lvl w:ilvl="1">
      <w:lvlJc w:val="left"/>
      <w:lvlText w:val="(%2)"/>
      <w:numFmt w:val="decimal"/>
      <w:start w:val="20"/>
    </w:lvl>
  </w:abstractNum>
  <w:abstractNum w:abstractNumId="34">
    <w:nsid w:val="661E3F1E"/>
    <w:multiLevelType w:val="hybridMultilevel"/>
    <w:lvl w:ilvl="0">
      <w:lvlJc w:val="left"/>
      <w:lvlText w:val="(%1)"/>
      <w:numFmt w:val="lowerRoman"/>
      <w:start w:val="6"/>
    </w:lvl>
    <w:lvl w:ilvl="1">
      <w:lvlJc w:val="left"/>
      <w:lvlText w:val="%2"/>
      <w:numFmt w:val="decimal"/>
      <w:start w:val="1"/>
    </w:lvl>
  </w:abstractNum>
  <w:abstractNum w:abstractNumId="35">
    <w:nsid w:val="5DC79EA8"/>
    <w:multiLevelType w:val="hybridMultilevel"/>
    <w:lvl w:ilvl="0">
      <w:lvlJc w:val="left"/>
      <w:lvlText w:val="(%1)"/>
      <w:numFmt w:val="decimal"/>
      <w:start w:val="21"/>
    </w:lvl>
  </w:abstractNum>
  <w:abstractNum w:abstractNumId="36">
    <w:nsid w:val="540A471C"/>
    <w:multiLevelType w:val="hybridMultilevel"/>
    <w:lvl w:ilvl="0">
      <w:lvlJc w:val="left"/>
      <w:lvlText w:val="(%1)"/>
      <w:numFmt w:val="decimal"/>
      <w:start w:val="22"/>
    </w:lvl>
  </w:abstractNum>
  <w:abstractNum w:abstractNumId="37">
    <w:nsid w:val="7BD3EE7B"/>
    <w:multiLevelType w:val="hybridMultilevel"/>
    <w:lvl w:ilvl="0">
      <w:lvlJc w:val="left"/>
      <w:lvlText w:val="%1"/>
      <w:numFmt w:val="lowerRoman"/>
      <w:start w:val="1"/>
    </w:lvl>
    <w:lvl w:ilvl="1">
      <w:lvlJc w:val="left"/>
      <w:lvlText w:val="(%2)"/>
      <w:numFmt w:val="decimal"/>
      <w:start w:val="23"/>
    </w:lvl>
  </w:abstractNum>
  <w:abstractNum w:abstractNumId="38">
    <w:nsid w:val="51D9C564"/>
    <w:multiLevelType w:val="hybridMultilevel"/>
    <w:lvl w:ilvl="0">
      <w:lvlJc w:val="left"/>
      <w:lvlText w:val="(%1)"/>
      <w:numFmt w:val="lowerRoman"/>
      <w:start w:val="1"/>
    </w:lvl>
    <w:lvl w:ilvl="1">
      <w:lvlJc w:val="left"/>
      <w:lvlText w:val="%2"/>
      <w:numFmt w:val="decimal"/>
      <w:start w:val="1"/>
    </w:lvl>
  </w:abstractNum>
  <w:abstractNum w:abstractNumId="39">
    <w:nsid w:val="613EFDC5"/>
    <w:multiLevelType w:val="hybridMultilevel"/>
    <w:lvl w:ilvl="0">
      <w:lvlJc w:val="left"/>
      <w:lvlText w:val="(%1)"/>
      <w:numFmt w:val="lowerRoman"/>
      <w:start w:val="1"/>
    </w:lvl>
    <w:lvl w:ilvl="1">
      <w:lvlJc w:val="left"/>
      <w:lvlText w:val="%2"/>
      <w:numFmt w:val="decimal"/>
      <w:start w:val="1"/>
    </w:lvl>
  </w:abstractNum>
  <w:abstractNum w:abstractNumId="40">
    <w:nsid w:val="BF72B14"/>
    <w:multiLevelType w:val="hybridMultilevel"/>
    <w:lvl w:ilvl="0">
      <w:lvlJc w:val="left"/>
      <w:lvlText w:val="(%1)"/>
      <w:numFmt w:val="lowerRoman"/>
      <w:start w:val="1"/>
    </w:lvl>
    <w:lvl w:ilvl="1">
      <w:lvlJc w:val="left"/>
      <w:lvlText w:val="%2"/>
      <w:numFmt w:val="decimal"/>
      <w:start w:val="1"/>
    </w:lvl>
  </w:abstractNum>
  <w:abstractNum w:abstractNumId="41">
    <w:nsid w:val="11447B73"/>
    <w:multiLevelType w:val="hybridMultilevel"/>
    <w:lvl w:ilvl="0">
      <w:lvlJc w:val="left"/>
      <w:lvlText w:val="(%1)"/>
      <w:numFmt w:val="decimal"/>
      <w:start w:val="25"/>
    </w:lvl>
  </w:abstractNum>
  <w:abstractNum w:abstractNumId="42">
    <w:nsid w:val="42963E5A"/>
    <w:multiLevelType w:val="hybridMultilevel"/>
    <w:lvl w:ilvl="0">
      <w:lvlJc w:val="left"/>
      <w:lvlText w:val="(%1)"/>
      <w:numFmt w:val="lowerLetter"/>
      <w:start w:val="2"/>
    </w:lvl>
  </w:abstractNum>
  <w:abstractNum w:abstractNumId="43">
    <w:nsid w:val="A0382C5"/>
    <w:multiLevelType w:val="hybridMultilevel"/>
    <w:lvl w:ilvl="0">
      <w:lvlJc w:val="left"/>
      <w:lvlText w:val="%1"/>
      <w:numFmt w:val="lowerRoman"/>
      <w:start w:val="1"/>
    </w:lvl>
    <w:lvl w:ilvl="1">
      <w:lvlJc w:val="left"/>
      <w:lvlText w:val="(%2)"/>
      <w:numFmt w:val="decimal"/>
      <w:start w:val="26"/>
    </w:lvl>
  </w:abstractNum>
  <w:abstractNum w:abstractNumId="44">
    <w:nsid w:val="8F2B15E"/>
    <w:multiLevelType w:val="hybridMultilevel"/>
    <w:lvl w:ilvl="0">
      <w:lvlJc w:val="left"/>
      <w:lvlText w:val="(%1)"/>
      <w:numFmt w:val="lowerRoman"/>
      <w:start w:val="4"/>
    </w:lvl>
    <w:lvl w:ilvl="1">
      <w:lvlJc w:val="left"/>
      <w:lvlText w:val="(%2)"/>
      <w:numFmt w:val="decimal"/>
      <w:start w:val="27"/>
    </w:lvl>
  </w:abstractNum>
  <w:abstractNum w:abstractNumId="45">
    <w:nsid w:val="1A32234B"/>
    <w:multiLevelType w:val="hybridMultilevel"/>
    <w:lvl w:ilvl="0">
      <w:lvlJc w:val="left"/>
      <w:lvlText w:val="(%1)"/>
      <w:numFmt w:val="lowerLetter"/>
      <w:start w:val="1"/>
    </w:lvl>
  </w:abstractNum>
  <w:abstractNum w:abstractNumId="46">
    <w:nsid w:val="3B0FD379"/>
    <w:multiLevelType w:val="hybridMultilevel"/>
    <w:lvl w:ilvl="0">
      <w:lvlJc w:val="left"/>
      <w:lvlText w:val="(%1)"/>
      <w:numFmt w:val="lowerLetter"/>
      <w:start w:val="2"/>
    </w:lvl>
  </w:abstractNum>
  <w:abstractNum w:abstractNumId="47">
    <w:nsid w:val="68EB2F63"/>
    <w:multiLevelType w:val="hybridMultilevel"/>
    <w:lvl w:ilvl="0">
      <w:lvlJc w:val="left"/>
      <w:lvlText w:val="%1"/>
      <w:numFmt w:val="lowerLetter"/>
      <w:start w:val="1"/>
    </w:lvl>
    <w:lvl w:ilvl="1">
      <w:lvlJc w:val="left"/>
      <w:lvlText w:val="(%2)"/>
      <w:numFmt w:val="lowerLetter"/>
      <w:start w:val="1"/>
    </w:lvl>
  </w:abstractNum>
  <w:abstractNum w:abstractNumId="48">
    <w:nsid w:val="4962813B"/>
    <w:multiLevelType w:val="hybridMultilevel"/>
    <w:lvl w:ilvl="0">
      <w:lvlJc w:val="left"/>
      <w:lvlText w:val="(%1)"/>
      <w:numFmt w:val="lowerLetter"/>
      <w:start w:val="35"/>
    </w:lvl>
    <w:lvl w:ilvl="1">
      <w:lvlJc w:val="left"/>
      <w:lvlText w:val="(%2)"/>
      <w:numFmt w:val="lowerLetter"/>
      <w:start w:val="3"/>
    </w:lvl>
  </w:abstractNum>
  <w:abstractNum w:abstractNumId="49">
    <w:nsid w:val="60B6DF70"/>
    <w:multiLevelType w:val="hybridMultilevel"/>
    <w:lvl w:ilvl="0">
      <w:lvlJc w:val="left"/>
      <w:lvlText w:val="(%1)"/>
      <w:numFmt w:val="lowerLetter"/>
      <w:start w:val="4"/>
    </w:lvl>
  </w:abstractNum>
  <w:abstractNum w:abstractNumId="50">
    <w:nsid w:val="6A5EE64"/>
    <w:multiLevelType w:val="hybridMultilevel"/>
    <w:lvl w:ilvl="0">
      <w:lvlJc w:val="left"/>
      <w:lvlText w:val="(%1)"/>
      <w:numFmt w:val="lowerRoman"/>
      <w:start w:val="2"/>
    </w:lvl>
  </w:abstractNum>
  <w:abstractNum w:abstractNumId="51">
    <w:nsid w:val="14330624"/>
    <w:multiLevelType w:val="hybridMultilevel"/>
    <w:lvl w:ilvl="0">
      <w:lvlJc w:val="left"/>
      <w:lvlText w:val="(%1)"/>
      <w:numFmt w:val="lowerRoman"/>
      <w:start w:val="2"/>
    </w:lvl>
  </w:abstractNum>
  <w:abstractNum w:abstractNumId="52">
    <w:nsid w:val="7FFFCA11"/>
    <w:multiLevelType w:val="hybridMultilevel"/>
    <w:lvl w:ilvl="0">
      <w:lvlJc w:val="left"/>
      <w:lvlText w:val="(%1)"/>
      <w:numFmt w:val="lowerLetter"/>
      <w:start w:val="1"/>
    </w:lvl>
  </w:abstractNum>
  <w:abstractNum w:abstractNumId="53">
    <w:nsid w:val="1A27709E"/>
    <w:multiLevelType w:val="hybridMultilevel"/>
    <w:lvl w:ilvl="0">
      <w:lvlJc w:val="left"/>
      <w:lvlText w:val="%1"/>
      <w:numFmt w:val="upperLetter"/>
      <w:start w:val="1"/>
    </w:lvl>
    <w:lvl w:ilvl="1">
      <w:lvlJc w:val="left"/>
      <w:lvlText w:val="(%2)"/>
      <w:numFmt w:val="lowerLetter"/>
      <w:start w:val="1"/>
    </w:lvl>
  </w:abstractNum>
  <w:abstractNum w:abstractNumId="54">
    <w:nsid w:val="71EA1109"/>
    <w:multiLevelType w:val="hybridMultilevel"/>
    <w:lvl w:ilvl="0">
      <w:lvlJc w:val="left"/>
      <w:lvlText w:val="(%1)"/>
      <w:numFmt w:val="upperLetter"/>
      <w:start w:val="1"/>
    </w:lvl>
    <w:lvl w:ilvl="1">
      <w:lvlJc w:val="left"/>
      <w:lvlText w:val="%2"/>
      <w:numFmt w:val="lowerLetter"/>
      <w:start w:val="1"/>
    </w:lvl>
  </w:abstractNum>
  <w:abstractNum w:abstractNumId="55">
    <w:nsid w:val="100F59DC"/>
    <w:multiLevelType w:val="hybridMultilevel"/>
    <w:lvl w:ilvl="0">
      <w:lvlJc w:val="left"/>
      <w:lvlText w:val="(%1)"/>
      <w:numFmt w:val="lowerLetter"/>
      <w:start w:val="2"/>
    </w:lvl>
  </w:abstractNum>
  <w:abstractNum w:abstractNumId="56">
    <w:nsid w:val="7FB7E0AA"/>
    <w:multiLevelType w:val="hybridMultilevel"/>
    <w:lvl w:ilvl="0">
      <w:lvlJc w:val="left"/>
      <w:lvlText w:val="(%1)"/>
      <w:numFmt w:val="lowerRoman"/>
      <w:start w:val="1"/>
    </w:lvl>
  </w:abstractNum>
  <w:abstractNum w:abstractNumId="57">
    <w:nsid w:val="6EB5BD4"/>
    <w:multiLevelType w:val="hybridMultilevel"/>
    <w:lvl w:ilvl="0">
      <w:lvlJc w:val="left"/>
      <w:lvlText w:val="(%1)"/>
      <w:numFmt w:val="lowerRoman"/>
      <w:start w:val="1"/>
    </w:lvl>
  </w:abstractNum>
  <w:abstractNum w:abstractNumId="58">
    <w:nsid w:val="6F6DD9AC"/>
    <w:multiLevelType w:val="hybridMultilevel"/>
    <w:lvl w:ilvl="0">
      <w:lvlJc w:val="left"/>
      <w:lvlText w:val="(%1)"/>
      <w:numFmt w:val="lowerRoman"/>
      <w:start w:val="10"/>
    </w:lvl>
  </w:abstractNum>
  <w:abstractNum w:abstractNumId="59">
    <w:nsid w:val="94211F2"/>
    <w:multiLevelType w:val="hybridMultilevel"/>
    <w:lvl w:ilvl="0">
      <w:lvlJc w:val="left"/>
      <w:lvlText w:val="(%1)"/>
      <w:numFmt w:val="lowerRoman"/>
      <w:start w:val="2"/>
    </w:lvl>
  </w:abstractNum>
  <w:abstractNum w:abstractNumId="60">
    <w:nsid w:val="885E1B"/>
    <w:multiLevelType w:val="hybridMultilevel"/>
    <w:lvl w:ilvl="0">
      <w:lvlJc w:val="left"/>
      <w:lvlText w:val="(%1)"/>
      <w:numFmt w:val="lowerLetter"/>
      <w:start w:val="1"/>
    </w:lvl>
  </w:abstractNum>
  <w:abstractNum w:abstractNumId="61">
    <w:nsid w:val="76272110"/>
    <w:multiLevelType w:val="hybridMultilevel"/>
    <w:lvl w:ilvl="0">
      <w:lvlJc w:val="left"/>
      <w:lvlText w:val="(%1)"/>
      <w:numFmt w:val="lowerLetter"/>
      <w:start w:val="2"/>
    </w:lvl>
  </w:abstractNum>
  <w:abstractNum w:abstractNumId="62">
    <w:nsid w:val="4C04A8AF"/>
    <w:multiLevelType w:val="hybridMultilevel"/>
    <w:lvl w:ilvl="0">
      <w:lvlJc w:val="left"/>
      <w:lvlText w:val="%1"/>
      <w:numFmt w:val="lowerLetter"/>
      <w:start w:val="1"/>
    </w:lvl>
    <w:lvl w:ilvl="1">
      <w:lvlJc w:val="left"/>
      <w:lvlText w:val="(%2)"/>
      <w:numFmt w:val="lowerLetter"/>
      <w:start w:val="1"/>
    </w:lvl>
  </w:abstractNum>
  <w:abstractNum w:abstractNumId="63">
    <w:nsid w:val="1716703B"/>
    <w:multiLevelType w:val="hybridMultilevel"/>
    <w:lvl w:ilvl="0">
      <w:lvlJc w:val="left"/>
      <w:lvlText w:val="(%1)"/>
      <w:numFmt w:val="lowerLetter"/>
      <w:start w:val="35"/>
    </w:lvl>
    <w:lvl w:ilvl="1">
      <w:lvlJc w:val="left"/>
      <w:lvlText w:val="(%2)"/>
      <w:numFmt w:val="lowerLetter"/>
      <w:start w:val="4"/>
    </w:lvl>
  </w:abstractNum>
  <w:abstractNum w:abstractNumId="64">
    <w:nsid w:val="14E17E33"/>
    <w:multiLevelType w:val="hybridMultilevel"/>
    <w:lvl w:ilvl="0">
      <w:lvlJc w:val="left"/>
      <w:lvlText w:val="(%1)"/>
      <w:numFmt w:val="lowerRoman"/>
      <w:start w:val="1"/>
    </w:lvl>
  </w:abstractNum>
  <w:abstractNum w:abstractNumId="65">
    <w:nsid w:val="3222E7CD"/>
    <w:multiLevelType w:val="hybridMultilevel"/>
    <w:lvl w:ilvl="0">
      <w:lvlJc w:val="left"/>
      <w:lvlText w:val="(%1)"/>
      <w:numFmt w:val="lowerRoman"/>
      <w:start w:val="2"/>
    </w:lvl>
  </w:abstractNum>
  <w:abstractNum w:abstractNumId="66">
    <w:nsid w:val="74DE0EE3"/>
    <w:multiLevelType w:val="hybridMultilevel"/>
    <w:lvl w:ilvl="0">
      <w:lvlJc w:val="left"/>
      <w:lvlText w:val="(%1)"/>
      <w:numFmt w:val="lowerRoman"/>
      <w:start w:val="4"/>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lowerLetter"/>
      <w:start w:val="1"/>
    </w:lvl>
  </w:abstractNum>
  <w:abstractNum w:abstractNumId="70">
    <w:nsid w:val="4A2AC315"/>
    <w:multiLevelType w:val="hybridMultilevel"/>
    <w:lvl w:ilvl="0">
      <w:lvlJc w:val="left"/>
      <w:lvlText w:val="(%1)"/>
      <w:numFmt w:val="lowerLetter"/>
      <w:start w:val="2"/>
    </w:lvl>
  </w:abstractNum>
  <w:abstractNum w:abstractNumId="71">
    <w:nsid w:val="39EE015C"/>
    <w:multiLevelType w:val="hybridMultilevel"/>
    <w:lvl w:ilvl="0">
      <w:lvlJc w:val="left"/>
      <w:lvlText w:val="%1"/>
      <w:numFmt w:val="lowerLetter"/>
      <w:start w:val="1"/>
    </w:lvl>
    <w:lvl w:ilvl="1">
      <w:lvlJc w:val="left"/>
      <w:lvlText w:val="(%2)"/>
      <w:numFmt w:val="decimal"/>
      <w:start w:val="1"/>
    </w:lvl>
  </w:abstractNum>
  <w:abstractNum w:abstractNumId="72">
    <w:nsid w:val="57FC4FBB"/>
    <w:multiLevelType w:val="hybridMultilevel"/>
    <w:lvl w:ilvl="0">
      <w:lvlJc w:val="left"/>
      <w:lvlText w:val="(%1)"/>
      <w:numFmt w:val="lowerLetter"/>
      <w:start w:val="2"/>
    </w:lvl>
    <w:lvl w:ilvl="1">
      <w:lvlJc w:val="left"/>
      <w:lvlText w:val="%2"/>
      <w:numFmt w:val="decimal"/>
      <w:start w:val="1"/>
    </w:lvl>
  </w:abstractNum>
  <w:abstractNum w:abstractNumId="73">
    <w:nsid w:val="CC1016F"/>
    <w:multiLevelType w:val="hybridMultilevel"/>
    <w:lvl w:ilvl="0">
      <w:lvlJc w:val="left"/>
      <w:lvlText w:val="(%1)"/>
      <w:numFmt w:val="decimal"/>
      <w:start w:val="2"/>
    </w:lvl>
  </w:abstractNum>
  <w:abstractNum w:abstractNumId="74">
    <w:nsid w:val="43F18422"/>
    <w:multiLevelType w:val="hybridMultilevel"/>
    <w:lvl w:ilvl="0">
      <w:lvlJc w:val="left"/>
      <w:lvlText w:val="%1"/>
      <w:numFmt w:val="lowerLetter"/>
      <w:start w:val="1"/>
    </w:lvl>
    <w:lvl w:ilvl="1">
      <w:lvlJc w:val="left"/>
      <w:lvlText w:val="(%2)"/>
      <w:numFmt w:val="decimal"/>
      <w:start w:val="3"/>
    </w:lvl>
  </w:abstractNum>
  <w:abstractNum w:abstractNumId="75">
    <w:nsid w:val="60EF0119"/>
    <w:multiLevelType w:val="hybridMultilevel"/>
    <w:lvl w:ilvl="0">
      <w:lvlJc w:val="left"/>
      <w:lvlText w:val="(%1)"/>
      <w:numFmt w:val="lowerLetter"/>
      <w:start w:val="24"/>
    </w:lvl>
    <w:lvl w:ilvl="1">
      <w:lvlJc w:val="left"/>
      <w:lvlText w:val="%2"/>
      <w:numFmt w:val="decimal"/>
      <w:start w:val="1"/>
    </w:lvl>
  </w:abstractNum>
  <w:abstractNum w:abstractNumId="76">
    <w:nsid w:val="26F324BA"/>
    <w:multiLevelType w:val="hybridMultilevel"/>
    <w:lvl w:ilvl="0">
      <w:lvlJc w:val="left"/>
      <w:lvlText w:val="(%1)"/>
      <w:numFmt w:val="lowerLetter"/>
      <w:start w:val="25"/>
    </w:lvl>
  </w:abstractNum>
  <w:abstractNum w:abstractNumId="77">
    <w:nsid w:val="7F01579B"/>
    <w:multiLevelType w:val="hybridMultilevel"/>
    <w:lvl w:ilvl="0">
      <w:lvlJc w:val="left"/>
      <w:lvlText w:val="(%1)"/>
      <w:numFmt w:val="decimal"/>
      <w:start w:val="4"/>
    </w:lvl>
  </w:abstractNum>
  <w:abstractNum w:abstractNumId="78">
    <w:nsid w:val="49DA307D"/>
    <w:multiLevelType w:val="hybridMultilevel"/>
    <w:lvl w:ilvl="0">
      <w:lvlJc w:val="left"/>
      <w:lvlText w:val="(%1)"/>
      <w:numFmt w:val="decimal"/>
      <w:start w:val="5"/>
    </w:lvl>
  </w:abstractNum>
  <w:abstractNum w:abstractNumId="79">
    <w:nsid w:val="7055A5F5"/>
    <w:multiLevelType w:val="hybridMultilevel"/>
    <w:lvl w:ilvl="0">
      <w:lvlJc w:val="left"/>
      <w:lvlText w:val="(%1)"/>
      <w:numFmt w:val="decimal"/>
      <w:start w:val="6"/>
    </w:lvl>
  </w:abstractNum>
  <w:abstractNum w:abstractNumId="80">
    <w:nsid w:val="5FB8370B"/>
    <w:multiLevelType w:val="hybridMultilevel"/>
    <w:lvl w:ilvl="0">
      <w:lvlJc w:val="left"/>
      <w:lvlText w:val="(%1)"/>
      <w:numFmt w:val="decimal"/>
      <w:start w:val="9"/>
    </w:lvl>
  </w:abstractNum>
  <w:abstractNum w:abstractNumId="81">
    <w:nsid w:val="50801EE1"/>
    <w:multiLevelType w:val="hybridMultilevel"/>
    <w:lvl w:ilvl="0">
      <w:lvlJc w:val="left"/>
      <w:lvlText w:val="(%1)"/>
      <w:numFmt w:val="decimal"/>
      <w:start w:val="11"/>
    </w:lvl>
    <w:lvl w:ilvl="1">
      <w:lvlJc w:val="left"/>
      <w:lvlText w:val="(%2)"/>
      <w:numFmt w:val="lowerRoman"/>
      <w:start w:val="1"/>
    </w:lvl>
  </w:abstractNum>
  <w:abstractNum w:abstractNumId="82">
    <w:nsid w:val="488AC1A"/>
    <w:multiLevelType w:val="hybridMultilevel"/>
    <w:lvl w:ilvl="0">
      <w:lvlJc w:val="left"/>
      <w:lvlText w:val="(%1)"/>
      <w:numFmt w:val="lowerRoman"/>
      <w:start w:val="7"/>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Letter"/>
      <w:start w:val="6"/>
    </w:lvl>
  </w:abstractNum>
  <w:abstractNum w:abstractNumId="85">
    <w:nsid w:val="7672BD23"/>
    <w:multiLevelType w:val="hybridMultilevel"/>
    <w:lvl w:ilvl="0">
      <w:lvlJc w:val="left"/>
      <w:lvlText w:val="(%1)"/>
      <w:numFmt w:val="decimal"/>
      <w:start w:val="12"/>
    </w:lvl>
  </w:abstractNum>
  <w:abstractNum w:abstractNumId="86">
    <w:nsid w:val="6FC75AF8"/>
    <w:multiLevelType w:val="hybridMultilevel"/>
    <w:lvl w:ilvl="0">
      <w:lvlJc w:val="left"/>
      <w:lvlText w:val="(%1)"/>
      <w:numFmt w:val="decimal"/>
      <w:start w:val="13"/>
    </w:lvl>
  </w:abstractNum>
  <w:abstractNum w:abstractNumId="87">
    <w:nsid w:val="6A5F7029"/>
    <w:multiLevelType w:val="hybridMultilevel"/>
    <w:lvl w:ilvl="0">
      <w:lvlJc w:val="left"/>
      <w:lvlText w:val="%1"/>
      <w:numFmt w:val="lowerRoman"/>
      <w:start w:val="1"/>
    </w:lvl>
    <w:lvl w:ilvl="1">
      <w:lvlJc w:val="left"/>
      <w:lvlText w:val="(%2)"/>
      <w:numFmt w:val="decimal"/>
      <w:start w:val="15"/>
    </w:lvl>
  </w:abstractNum>
  <w:abstractNum w:abstractNumId="88">
    <w:nsid w:val="7D5E18F8"/>
    <w:multiLevelType w:val="hybridMultilevel"/>
    <w:lvl w:ilvl="0">
      <w:lvlJc w:val="left"/>
      <w:lvlText w:val="(%1)"/>
      <w:numFmt w:val="lowerRoman"/>
      <w:start w:val="2"/>
    </w:lvl>
    <w:lvl w:ilvl="1">
      <w:lvlJc w:val="left"/>
      <w:lvlText w:val="%2"/>
      <w:numFmt w:val="decimal"/>
      <w:start w:val="1"/>
    </w:lvl>
  </w:abstractNum>
  <w:abstractNum w:abstractNumId="89">
    <w:nsid w:val="5F3534A4"/>
    <w:multiLevelType w:val="hybridMultilevel"/>
    <w:lvl w:ilvl="0">
      <w:lvlJc w:val="left"/>
      <w:lvlText w:val="(%1)"/>
      <w:numFmt w:val="lowerLetter"/>
      <w:start w:val="2"/>
    </w:lvl>
  </w:abstractNum>
  <w:abstractNum w:abstractNumId="90">
    <w:nsid w:val="73A1821B"/>
    <w:multiLevelType w:val="hybridMultilevel"/>
    <w:lvl w:ilvl="0">
      <w:lvlJc w:val="left"/>
      <w:lvlText w:val="(%1)"/>
      <w:numFmt w:val="lowerLetter"/>
      <w:start w:val="3"/>
    </w:lvl>
  </w:abstractNum>
  <w:abstractNum w:abstractNumId="91">
    <w:nsid w:val="7DE67713"/>
    <w:multiLevelType w:val="hybridMultilevel"/>
    <w:lvl w:ilvl="0">
      <w:lvlJc w:val="left"/>
      <w:lvlText w:val="(%1)"/>
      <w:numFmt w:val="lowerLetter"/>
      <w:start w:val="5"/>
    </w:lvl>
  </w:abstractNum>
  <w:abstractNum w:abstractNumId="92">
    <w:nsid w:val="555C55B5"/>
    <w:multiLevelType w:val="hybridMultilevel"/>
    <w:lvl w:ilvl="0">
      <w:lvlJc w:val="left"/>
      <w:lvlText w:val="(%1)"/>
      <w:numFmt w:val="decimal"/>
      <w:start w:val="16"/>
    </w:lvl>
  </w:abstractNum>
  <w:abstractNum w:abstractNumId="93">
    <w:nsid w:val="3FA62ACA"/>
    <w:multiLevelType w:val="hybridMultilevel"/>
    <w:lvl w:ilvl="0">
      <w:lvlJc w:val="left"/>
      <w:lvlText w:val="(%1)"/>
      <w:numFmt w:val="decimal"/>
      <w:start w:val="17"/>
    </w:lvl>
  </w:abstractNum>
  <w:abstractNum w:abstractNumId="94">
    <w:nsid w:val="14FCE74E"/>
    <w:multiLevelType w:val="hybridMultilevel"/>
    <w:lvl w:ilvl="0">
      <w:lvlJc w:val="left"/>
      <w:lvlText w:val="(%1)"/>
      <w:numFmt w:val="decimal"/>
      <w:start w:val="19"/>
    </w:lvl>
  </w:abstractNum>
  <w:abstractNum w:abstractNumId="95">
    <w:nsid w:val="6A3DD3E8"/>
    <w:multiLevelType w:val="hybridMultilevel"/>
    <w:lvl w:ilvl="0">
      <w:lvlJc w:val="left"/>
      <w:lvlText w:val="%1"/>
      <w:numFmt w:val="lowerRoman"/>
      <w:start w:val="1"/>
    </w:lvl>
    <w:lvl w:ilvl="1">
      <w:lvlJc w:val="left"/>
      <w:lvlText w:val="(%2)"/>
      <w:numFmt w:val="decimal"/>
      <w:start w:val="20"/>
    </w:lvl>
  </w:abstractNum>
  <w:abstractNum w:abstractNumId="96">
    <w:nsid w:val="71C91298"/>
    <w:multiLevelType w:val="hybridMultilevel"/>
    <w:lvl w:ilvl="0">
      <w:lvlJc w:val="left"/>
      <w:lvlText w:val="(%1)"/>
      <w:numFmt w:val="lowerRoman"/>
      <w:start w:val="6"/>
    </w:lvl>
    <w:lvl w:ilvl="1">
      <w:lvlJc w:val="left"/>
      <w:lvlText w:val="%2"/>
      <w:numFmt w:val="decimal"/>
      <w:start w:val="1"/>
    </w:lvl>
  </w:abstractNum>
  <w:abstractNum w:abstractNumId="97">
    <w:nsid w:val="9DAF632"/>
    <w:multiLevelType w:val="hybridMultilevel"/>
    <w:lvl w:ilvl="0">
      <w:lvlJc w:val="left"/>
      <w:lvlText w:val="(%1)"/>
      <w:numFmt w:val="decimal"/>
      <w:start w:val="21"/>
    </w:lvl>
  </w:abstractNum>
  <w:abstractNum w:abstractNumId="98">
    <w:nsid w:val="53299938"/>
    <w:multiLevelType w:val="hybridMultilevel"/>
    <w:lvl w:ilvl="0">
      <w:lvlJc w:val="left"/>
      <w:lvlText w:val="(%1)"/>
      <w:numFmt w:val="decimal"/>
      <w:start w:val="22"/>
    </w:lvl>
  </w:abstractNum>
  <w:abstractNum w:abstractNumId="99">
    <w:nsid w:val="1FBFE8E0"/>
    <w:multiLevelType w:val="hybridMultilevel"/>
    <w:lvl w:ilvl="0">
      <w:lvlJc w:val="left"/>
      <w:lvlText w:val="(%1)"/>
      <w:numFmt w:val="decimal"/>
      <w:start w:val="23"/>
    </w:lvl>
  </w:abstractNum>
  <w:abstractNum w:abstractNumId="100">
    <w:nsid w:val="5092CA79"/>
    <w:multiLevelType w:val="hybridMultilevel"/>
    <w:lvl w:ilvl="0">
      <w:lvlJc w:val="left"/>
      <w:lvlText w:val="%1"/>
      <w:numFmt w:val="lowerRoman"/>
      <w:start w:val="1"/>
    </w:lvl>
    <w:lvl w:ilvl="1">
      <w:lvlJc w:val="left"/>
      <w:lvlText w:val="(%2)"/>
      <w:numFmt w:val="decimal"/>
      <w:start w:val="24"/>
    </w:lvl>
  </w:abstractNum>
  <w:abstractNum w:abstractNumId="101">
    <w:nsid w:val="1D545C4D"/>
    <w:multiLevelType w:val="hybridMultilevel"/>
    <w:lvl w:ilvl="0">
      <w:lvlJc w:val="left"/>
      <w:lvlText w:val="(%1)"/>
      <w:numFmt w:val="lowerRoman"/>
      <w:start w:val="1"/>
    </w:lvl>
    <w:lvl w:ilvl="1">
      <w:lvlJc w:val="left"/>
      <w:lvlText w:val="%2"/>
      <w:numFmt w:val="decimal"/>
      <w:start w:val="1"/>
    </w:lvl>
  </w:abstractNum>
  <w:abstractNum w:abstractNumId="102">
    <w:nsid w:val="59ADEA3D"/>
    <w:multiLevelType w:val="hybridMultilevel"/>
    <w:lvl w:ilvl="0">
      <w:lvlJc w:val="left"/>
      <w:lvlText w:val="(%1)"/>
      <w:numFmt w:val="lowerRoman"/>
      <w:start w:val="1"/>
    </w:lvl>
    <w:lvl w:ilvl="1">
      <w:lvlJc w:val="left"/>
      <w:lvlText w:val="%2"/>
      <w:numFmt w:val="decimal"/>
      <w:start w:val="1"/>
    </w:lvl>
  </w:abstractNum>
  <w:abstractNum w:abstractNumId="103">
    <w:nsid w:val="288F1A34"/>
    <w:multiLevelType w:val="hybridMultilevel"/>
    <w:lvl w:ilvl="0">
      <w:lvlJc w:val="left"/>
      <w:lvlText w:val="(%1)"/>
      <w:numFmt w:val="lowerRoman"/>
      <w:start w:val="1"/>
    </w:lvl>
    <w:lvl w:ilvl="1">
      <w:lvlJc w:val="left"/>
      <w:lvlText w:val="%2"/>
      <w:numFmt w:val="decimal"/>
      <w:start w:val="1"/>
    </w:lvl>
  </w:abstractNum>
  <w:abstractNum w:abstractNumId="104">
    <w:nsid w:val="2A155DBC"/>
    <w:multiLevelType w:val="hybridMultilevel"/>
    <w:lvl w:ilvl="0">
      <w:lvlJc w:val="left"/>
      <w:lvlText w:val="(%1)"/>
      <w:numFmt w:val="decimal"/>
      <w:start w:val="25"/>
    </w:lvl>
  </w:abstractNum>
  <w:abstractNum w:abstractNumId="105">
    <w:nsid w:val="1D9F6E5F"/>
    <w:multiLevelType w:val="hybridMultilevel"/>
    <w:lvl w:ilvl="0">
      <w:lvlJc w:val="left"/>
      <w:lvlText w:val="(%1)"/>
      <w:numFmt w:val="lowerLetter"/>
      <w:start w:val="2"/>
    </w:lvl>
  </w:abstractNum>
  <w:abstractNum w:abstractNumId="106">
    <w:nsid w:val="97E1B4E"/>
    <w:multiLevelType w:val="hybridMultilevel"/>
    <w:lvl w:ilvl="0">
      <w:lvlJc w:val="left"/>
      <w:lvlText w:val="%1"/>
      <w:numFmt w:val="lowerRoman"/>
      <w:start w:val="1"/>
    </w:lvl>
    <w:lvl w:ilvl="1">
      <w:lvlJc w:val="left"/>
      <w:lvlText w:val="(%2)"/>
      <w:numFmt w:val="decimal"/>
      <w:start w:val="26"/>
    </w:lvl>
  </w:abstractNum>
  <w:abstractNum w:abstractNumId="107">
    <w:nsid w:val="51088277"/>
    <w:multiLevelType w:val="hybridMultilevel"/>
    <w:lvl w:ilvl="0">
      <w:lvlJc w:val="left"/>
      <w:lvlText w:val="(%1)"/>
      <w:numFmt w:val="lowerRoman"/>
      <w:start w:val="4"/>
    </w:lvl>
    <w:lvl w:ilvl="1">
      <w:lvlJc w:val="left"/>
      <w:lvlText w:val="%2"/>
      <w:numFmt w:val="decimal"/>
      <w:start w:val="1"/>
    </w:lvl>
  </w:abstractNum>
  <w:abstractNum w:abstractNumId="108">
    <w:nsid w:val="1CA0C5FA"/>
    <w:multiLevelType w:val="hybridMultilevel"/>
    <w:lvl w:ilvl="0">
      <w:lvlJc w:val="left"/>
      <w:lvlText w:val="(%1)"/>
      <w:numFmt w:val="decimal"/>
      <w:start w:val="27"/>
    </w:lvl>
  </w:abstractNum>
  <w:abstractNum w:abstractNumId="109">
    <w:nsid w:val="53584BCB"/>
    <w:multiLevelType w:val="hybridMultilevel"/>
    <w:lvl w:ilvl="0">
      <w:lvlJc w:val="left"/>
      <w:lvlText w:val="%1."/>
      <w:numFmt w:val="upperLetter"/>
      <w:start w:val="9"/>
    </w:lvl>
  </w:abstractNum>
  <w:abstractNum w:abstractNumId="110">
    <w:nsid w:val="415E286C"/>
    <w:multiLevelType w:val="hybridMultilevel"/>
    <w:lvl w:ilvl="0">
      <w:lvlJc w:val="left"/>
      <w:lvlText w:val="%1."/>
      <w:numFmt w:val="upperLetter"/>
      <w:start w:val="35"/>
    </w:lvl>
  </w:abstractNum>
  <w:abstractNum w:abstractNumId="111">
    <w:nsid w:val="7C58FD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2026-06-15T10:17:30Z</dcterms:created>
  <dcterms:modified xsi:type="dcterms:W3CDTF">2026-06-15T10:17:30Z</dcterms:modified>
</cp:coreProperties>
</file>