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132715</wp:posOffset>
            </wp:positionV>
            <wp:extent cx="2846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8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165100</wp:posOffset>
            </wp:positionV>
            <wp:extent cx="28460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001-42160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156845</wp:posOffset>
            </wp:positionV>
            <wp:extent cx="28460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32"/>
          <w:szCs w:val="32"/>
          <w:b w:val="1"/>
          <w:bCs w:val="1"/>
          <w:color w:val="auto"/>
        </w:rPr>
        <w:t>NIP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165100</wp:posOffset>
            </wp:positionV>
            <wp:extent cx="2846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Rosenlundsgatan 31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11 863 Stockholm</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+46 8133700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142875</wp:posOffset>
            </wp:positionV>
            <wp:extent cx="2846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20"/>
        <w:spacing w:after="0" w:line="207" w:lineRule="exact"/>
        <w:tabs>
          <w:tab w:leader="none" w:pos="60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Press Release - NIP Group Publishes 2025 Sustainability Report, Driving Global Growth and Cultural Inclusion in Digital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0"/>
          </w:cols>
          <w:pgMar w:left="320" w:top="684" w:right="6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Mario Yau Kwan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Mario Yau Kwan Ho</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Hicham Chahine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Hicham Chahine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NIP Group Publishes 2025 Sustainability Report, Driving Global Growth and Cultural Inclusion in Digital Entertainment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ABU DHABI, United Arab Emirates, June 25, 2026 — NIP Group Inc. (“NIP Group” or the “Company”) (NASDAQ: NIPG) today announced the publication of its </w:t>
      </w:r>
      <w:r>
        <w:rPr>
          <w:rFonts w:ascii="Times New Roman" w:cs="Times New Roman" w:eastAsia="Times New Roman" w:hAnsi="Times New Roman"/>
          <w:sz w:val="18"/>
          <w:szCs w:val="18"/>
          <w:b w:val="1"/>
          <w:bCs w:val="1"/>
          <w:color w:val="auto"/>
        </w:rPr>
        <w:t>2025 Sustainability Report</w:t>
      </w:r>
      <w:r>
        <w:rPr>
          <w:rFonts w:ascii="Times New Roman" w:cs="Times New Roman" w:eastAsia="Times New Roman" w:hAnsi="Times New Roman"/>
          <w:sz w:val="18"/>
          <w:szCs w:val="18"/>
          <w:color w:val="auto"/>
        </w:rPr>
        <w:t>. This marks the second consecutive year that the Company has formally disclosed its Environmental, Social, and Governance (ESG) performance, underscoring its long-term commitment to digital inclusion, compliant operations, and global community development.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 first year following its successful Nasdaq listing, 2025 represented a milestone for NIP Group as it embedded sustainability into its multi-continental operations spanning Asia, Europe, the Middle East, and the Americas.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Highlights of the 2025 Sustainability Report:</w:t>
      </w:r>
    </w:p>
    <w:p>
      <w:pPr>
        <w:spacing w:after="0" w:line="225" w:lineRule="exact"/>
        <w:rPr>
          <w:sz w:val="20"/>
          <w:szCs w:val="20"/>
          <w:color w:val="auto"/>
        </w:rPr>
      </w:pPr>
    </w:p>
    <w:p>
      <w:pPr>
        <w:jc w:val="both"/>
        <w:ind w:left="660" w:hanging="328"/>
        <w:spacing w:after="0" w:line="259"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Global Footprint &amp; Cultural Inclusion: </w:t>
      </w:r>
      <w:r>
        <w:rPr>
          <w:rFonts w:ascii="Times New Roman" w:cs="Times New Roman" w:eastAsia="Times New Roman" w:hAnsi="Times New Roman"/>
          <w:sz w:val="18"/>
          <w:szCs w:val="18"/>
          <w:color w:val="auto"/>
        </w:rPr>
        <w:t>Following its landmark merger and strategic partnership with the Abu Dhabi Investment Office (ADIO),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NIP Group established its global headquarters in Abu Dhabi. The Company successfully fielded the NIP.eStar joint team at the Esports World Cup, showcasing the massive potential of East-West industry integration.</w:t>
      </w:r>
    </w:p>
    <w:p>
      <w:pPr>
        <w:jc w:val="both"/>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Digital for Good &amp; Social Inclusion: </w:t>
      </w:r>
      <w:r>
        <w:rPr>
          <w:rFonts w:ascii="Times New Roman" w:cs="Times New Roman" w:eastAsia="Times New Roman" w:hAnsi="Times New Roman"/>
          <w:sz w:val="18"/>
          <w:szCs w:val="18"/>
          <w:color w:val="auto"/>
        </w:rPr>
        <w:t>NIP Group actively mobilized its 100 million+ global follower base for social good. In 2025,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initiated or participated in 17 community engagement activities, benefiting nearly 20,000 individuals. Notably, the Company launched the first-ever Esports Vocational Training Program for Persons with Disabilities in Wuhan.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Ecosystem Innovation &amp; Tech Empowerment: </w:t>
      </w:r>
      <w:r>
        <w:rPr>
          <w:rFonts w:ascii="Times New Roman" w:cs="Times New Roman" w:eastAsia="Times New Roman" w:hAnsi="Times New Roman"/>
          <w:sz w:val="18"/>
          <w:szCs w:val="18"/>
          <w:color w:val="auto"/>
        </w:rPr>
        <w:t>NIP Group accelerated its offline-online integration with the launch of Phase I of the Wuhan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East Railway Station Digital Entertainment Hub. The Company expanded the application of AI-powered directing and VR streaming tech to boost content production efficiency by 80% year-on-year.</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Diversity, Equity, and Inclusion: </w:t>
      </w:r>
      <w:r>
        <w:rPr>
          <w:rFonts w:ascii="Times New Roman" w:cs="Times New Roman" w:eastAsia="Times New Roman" w:hAnsi="Times New Roman"/>
          <w:sz w:val="18"/>
          <w:szCs w:val="18"/>
          <w:color w:val="auto"/>
        </w:rPr>
        <w:t>The Company codified its commitment to a safe, inclusive workplace by issuing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NIP Group Commitment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Diversity, Equity, and Inclusion</w:t>
      </w:r>
      <w:r>
        <w:rPr>
          <w:rFonts w:ascii="Times New Roman" w:cs="Times New Roman" w:eastAsia="Times New Roman" w:hAnsi="Times New Roman"/>
          <w:sz w:val="18"/>
          <w:szCs w:val="18"/>
          <w:color w:val="auto"/>
        </w:rPr>
        <w:t>. This is highlighted by the continued empowerment of female talent.</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cross-border milestones and operational upgrades directly support the Company’s dual mandate of commercial development and social responsibility. Highlighting this strategic direction, Mario Ho, Chairman and Co-CEO of NIP Group, stated, “In 2025, driven by the deep integration of the digital economy and cultural industries, NIP Group aligned itself with strategic growth opportunities, focusing on ‘global expansion and high-quality development’ to fortify our foundation for long-term sustainability. Guided by our commitment to diversity, inclusion, and shared growth, digital entertainment has generated not only commercial value but also meaningful social impact, contributing to a greener, more inclusive, and sustainable future. Looking ahead, we will deepen the integration of digital and physical business models, further strengthen our core segments, and increase investment in advanced technologies such as AI to build a more capable, impactful, and resilient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56" w:lineRule="auto"/>
        <w:rPr>
          <w:sz w:val="20"/>
          <w:szCs w:val="20"/>
          <w:color w:val="auto"/>
        </w:rPr>
      </w:pPr>
      <w:r>
        <w:rPr>
          <w:rFonts w:ascii="Times New Roman" w:cs="Times New Roman" w:eastAsia="Times New Roman" w:hAnsi="Times New Roman"/>
          <w:sz w:val="18"/>
          <w:szCs w:val="18"/>
          <w:color w:val="auto"/>
        </w:rPr>
        <w:t>This continuous push toward a connected and resilient global network also reflects the core philosophy of the Company’s global leadership. Hicham Chahine, Co-CEO of NIP Group, emphasized the profound cultural mission behind the digital entertainment ecosystem, saying, “At NIP Group, we believe in the extraordinary power of digital entertainment—a power that connects hundreds of millions of young people worldwide beyond geographical, linguistic, and cultural boundaries to create shared experiences and genuine excitement. In a fast-changing world, we recognize that competitive gaming and entertainment can only thrive within an inclusive community committed to a sustainable future. We will therefore continue to build on our cross-continental ecosystem network and work alongside global partners to explore the boundless possibilities of sustainable development.”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full English and Chinese versions of the 2025 Sustainability Report are available online at NIP Group’s Investor Relations website: </w:t>
      </w:r>
      <w:r>
        <w:rPr>
          <w:rFonts w:ascii="Times New Roman" w:cs="Times New Roman" w:eastAsia="Times New Roman" w:hAnsi="Times New Roman"/>
          <w:sz w:val="17"/>
          <w:szCs w:val="17"/>
          <w:u w:val="single" w:color="auto"/>
          <w:color w:val="auto"/>
        </w:rPr>
        <w:t>https://ir.nipg.com/</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NIP Group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NIP Group (NASDAQ: NIPG) operates at the nexus of Bitcoin mining, compute infrastructure and global digital entertainment. Rooted in a decade of gaming DNA and industry leadership, the Company brings a cultural and community-driven edge to digital asset operations. Headquartered in Abu Dhabi with teams worldwide, NIP Group pairs significant compute capacity with a global gaming and entertainment ecosystem including esports teams, live events and content networks, reaching hundreds of millions of fans.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“likely to” or other similar expressions. Among other things, the business outlook and quotations from management in this press release, as well as NIP Group’s strategic and operational plans, contain forward-looking statements. NIP Group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but not limited to statements about NIP Group’s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NIP Group’s growth strategies; its future business development, results of operations and financial condition; its ability to maintain and enhance the recognition and reputation of its brand; developments in the relevant governmental laws, regulations, policies toward NIP Group’s industry; and general economic and business conditions globally and in the countries or regions where NIP Group has operations; and assumptions underlying or related to any of the foregoing. Further information regarding these and other risks is included in NIP Group’s filings with the SEC. All information provided in this press release is as of the date of this press release, and NIP Group undertakes no obligation to update any forward-looking statement, except as required under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NIP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ir@nipgroup.gg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 pr@nipgroup.gg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2026-06-25T05:13:09Z</dcterms:created>
  <dcterms:modified xsi:type="dcterms:W3CDTF">2026-06-25T05:13:09Z</dcterms:modified>
</cp:coreProperties>
</file>