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132715</wp:posOffset>
            </wp:positionV>
            <wp:extent cx="3566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85"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165100</wp:posOffset>
            </wp:positionV>
            <wp:extent cx="3566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September 2025</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001-42160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156845</wp:posOffset>
            </wp:positionV>
            <wp:extent cx="3566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32"/>
          <w:szCs w:val="32"/>
          <w:b w:val="1"/>
          <w:bCs w:val="1"/>
          <w:color w:val="auto"/>
        </w:rPr>
        <w:t>NIP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165100</wp:posOffset>
            </wp:positionV>
            <wp:extent cx="3566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Rosenlundsgatan 31</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11 863 Stockholm</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Sweden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+46 8133700</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142875</wp:posOffset>
            </wp:positionV>
            <wp:extent cx="3566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300"/>
        <w:spacing w:after="0" w:line="207" w:lineRule="exact"/>
        <w:tabs>
          <w:tab w:leader="none" w:pos="59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40" w:right="1440" w:bottom="1440" w:gutter="0" w:footer="0" w:header="0"/>
        </w:sectPr>
      </w:pPr>
    </w:p>
    <w:bookmarkStart w:id="1" w:name="page2"/>
    <w:bookmarkEnd w:id="1"/>
    <w:p>
      <w:pPr>
        <w:ind w:left="492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ind w:right="3179"/>
        <w:spacing w:after="0" w:line="282" w:lineRule="auto"/>
        <w:rPr>
          <w:sz w:val="20"/>
          <w:szCs w:val="20"/>
          <w:color w:val="auto"/>
        </w:rPr>
      </w:pPr>
      <w:r>
        <w:rPr>
          <w:rFonts w:ascii="Times New Roman" w:cs="Times New Roman" w:eastAsia="Times New Roman" w:hAnsi="Times New Roman"/>
          <w:sz w:val="18"/>
          <w:szCs w:val="18"/>
          <w:color w:val="auto"/>
        </w:rPr>
        <w:t xml:space="preserve">Exhibit 99.1 </w:t>
      </w:r>
      <w:r>
        <w:rPr>
          <w:rFonts w:ascii="Times New Roman" w:cs="Times New Roman" w:eastAsia="Times New Roman" w:hAnsi="Times New Roman"/>
          <w:sz w:val="18"/>
          <w:szCs w:val="18"/>
          <w:u w:val="single" w:color="auto"/>
          <w:color w:val="0000EE"/>
        </w:rPr>
        <w:t>Press Release – NIP Group Announces Closing of Mining Assets Acquisition</w:t>
      </w:r>
      <w:r>
        <w:rPr>
          <w:rFonts w:ascii="Times New Roman" w:cs="Times New Roman" w:eastAsia="Times New Roman" w:hAnsi="Times New Roman"/>
          <w:sz w:val="18"/>
          <w:szCs w:val="18"/>
          <w:color w:val="auto"/>
        </w:rPr>
        <w:t xml:space="preserve"> Exhibit 99.2 </w:t>
      </w:r>
      <w:r>
        <w:rPr>
          <w:rFonts w:ascii="Times New Roman" w:cs="Times New Roman" w:eastAsia="Times New Roman" w:hAnsi="Times New Roman"/>
          <w:sz w:val="18"/>
          <w:szCs w:val="18"/>
          <w:u w:val="single" w:color="auto"/>
          <w:color w:val="0000EE"/>
        </w:rPr>
        <w:t>Amendment to On-rack Sales and Purchase Agreement, dated September 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4"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NIP Group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Mario Yau Kwan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Mario Yau Kwan Ho</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Co-Chief Executive Officer</w:t>
      </w:r>
    </w:p>
    <w:p>
      <w:pPr>
        <w:spacing w:after="0" w:line="20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Hicham Chahine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Hicham Chahine</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Co-Chief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NIP Group Announces Closing of Mining Assets Acquisition</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Company Expands Board with the Appointment of Two Directors</w:t>
      </w:r>
    </w:p>
    <w:p>
      <w:pPr>
        <w:spacing w:after="0" w:line="22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ABU DHABI, United Arab Emirates, Sept 9, 2025 </w:t>
      </w:r>
      <w:r>
        <w:rPr>
          <w:rFonts w:ascii="Times New Roman" w:cs="Times New Roman" w:eastAsia="Times New Roman" w:hAnsi="Times New Roman"/>
          <w:sz w:val="18"/>
          <w:szCs w:val="18"/>
          <w:color w:val="auto"/>
        </w:rPr>
        <w:t>– NIP Group Inc. (“NIPG” or the “Company”) (NASDAQ: NIPG), a leading digital entertainment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today announced the completion of its previously announced acquisition of on-rack crypto mining machines (the “Products”) with an aggregate hash rate of 3.11 EH/s from Apex Cyber Capital Limited and Prosperity Oak Holdings Limited, to which Fortune Peak Limited assigned all of its rights, benefits and obligations under the Agreement (as defined below) to complete the transaction (together, the “Sellers”).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definitive asset-purchase agreement (the “Agreement”) entered into on July 1, 2025, the Company issued an aggregate of 119,553,439 Class A ordinary shares to the Sellers as consideration for the Products. All closing conditions for the transaction (the “Transaction”) were satisfied in accordance with the Agreement, and the Transaction closed on September 5, 2025.</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Products, consisting of data center capacity with a combined hash rate of 3.11 EH/s, are currently utilized for Bitcoin mining operations with expected production of approximately 60 Bitcoins per month. The Company will continue to host the Products in their existing data centers and has established a digital computing division to manage the operations and maintenance for the machines after closing. The completion of the Transaction is expected to further support the Company’s expansion and growth in the crypto asset space.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the completion of the Transaction, each of Simon Ming Yeung Tang and Kee Wee Kiang Kenneth has been appointed as a director of the Company, effective immediately.</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Hicham Chahine, Co-CEO of NIPG, commented, “The completion of this transaction marks a key milestone in our expansion into the crypto asset space and the establishment of our digital computing capabilities. These mining assets are now fully integrated into our operations, positioning us well to create additional value for our Company and stakeholders. Over time, we see significant opportunities to optimize performance, explore capacity enhancements and leverage this computing foundation to support emerging applications across AI and other compute-intensive sectors. We are also pleased to welcome two crypto-focused professionals to our Board, as we build out our digital infrastructure and further strengthen our governance.”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Simon Ming Yeung Tang is an experienced corporate finance professional with over 15 years of expertise across investment banking, corporate law and senior finance leadership roles. He played a key role in the Cango transaction that transitioned Cango into the bitcoin mining sector. Simon was also CFO of two new economy companies in the Internet and new energy vehicle sectors in China. From 2010 to 2021, he was part of the APAC TMT investment banking team at Credit Suisse, and before that practiced as a corporate lawyer at Linklaters, qualified in both English and Hong Kong law. Simon holds a Bachelor of Arts in Jurisprudence from the University of Oxford.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both"/>
        <w:spacing w:after="0" w:line="266" w:lineRule="auto"/>
        <w:rPr>
          <w:sz w:val="20"/>
          <w:szCs w:val="20"/>
          <w:color w:val="auto"/>
        </w:rPr>
      </w:pPr>
      <w:r>
        <w:rPr>
          <w:rFonts w:ascii="Times New Roman" w:cs="Times New Roman" w:eastAsia="Times New Roman" w:hAnsi="Times New Roman"/>
          <w:sz w:val="18"/>
          <w:szCs w:val="18"/>
          <w:color w:val="auto"/>
        </w:rPr>
        <w:t>Kee Wee Kiang Kenneth has been active in the bitcoin mining industry since 2022, with investments and operational experience across multiple jurisdictions. He has played an important role in scaling mining projects internationally and brings hands-on expertise in digital asset infrastructure and global mining operations.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acquisition follows the strategic relocation of the NIPG’s global headquarters to Abu Dhabi, enabled by a landmark multi-year agreement with the Abu Dhabi Investment Office (ADIO) announced in January. Under the agreement, NIPG has access to financial and non-financial growth opportunities over a four-year period. Over the agreement term, NIPG will contribute to local employment in the esports and gaming sector and increase its capacity across key business verticals in the region, including esports operations, creative studios, game publishing, events and talent management.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NIP Group</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NIP Group (NASDAQ: NIPG) is a global digital entertainment company driving the evolution of gaming and esports. With a diversified ecosystem spanning esports teams, arenas and events, content and influencer networks, game publishing, and hospitality, we engage hundreds of millions of fans and create immersive entertainment experiences. Operating across Europe, the Middle East, Asia and the Americas, we collaborate with leading gaming companies to push the boundaries of interactive entertainment and bring gaming to new audiences worldwide.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statements that constitute “forward-looking” statements. These statements are made under the “safe harbor” provisions of the U.S. Private Securities Litigation Reform Act of 1995. These forward-looking statements can be identified by terminology such as “will,” “expects,” “anticipates,” “aims,” “future,” “intends,” “plans,” “believes,” “estimates,” “likely to” or other similar expressions. Among other things, the business outlook and quotations from management in this press release, as well as NIPG’s strategic and operational plans, contain forward-looking statements. NIPG may also make written or oral forward-looking statements in its periodic reports to the U.S. Securities and Exchange Commission (the “SEC”), in its annual report to shareholders, in press releases and other written materials and in oral statements made by its officers, directors or employees to third parties. Statements that are not historical facts, including but not limited to statements about NIPG’s beliefs, plans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NIPG’s growth strategies; its future business development, results of operations and financial condition; its ability to maintain and enhance the recognition and reputation of its brand; developments in the relevant governmental laws, regulations, policies toward NIPG’s industry; and general economic and business conditions globally and in the countries or regions where NIPG has operations; and assumptions underlying or related to any of the foregoing. Further information regarding these and other risks is included in NIPG’s filings with the SEC. All information provided in this press release is as of the date of this press release, and NIPG undertakes no obligation to update any forward-looking statement, except as required under applicable law.</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NIP Group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ir@nipgroup.gg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Relations: pr@nipgroup.gg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u w:val="single" w:color="auto"/>
          <w:color w:val="auto"/>
        </w:rPr>
        <w:t>AMENDMENT AND WAIVER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dated as of September 5, 2025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is by and between:</w:t>
      </w:r>
    </w:p>
    <w:p>
      <w:pPr>
        <w:spacing w:after="0" w:line="225" w:lineRule="exact"/>
        <w:rPr>
          <w:sz w:val="20"/>
          <w:szCs w:val="20"/>
          <w:color w:val="auto"/>
        </w:rPr>
      </w:pPr>
    </w:p>
    <w:p>
      <w:pPr>
        <w:ind w:left="660" w:hanging="652"/>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NIP Group Inc.</w:t>
      </w:r>
      <w:r>
        <w:rPr>
          <w:rFonts w:ascii="Times New Roman" w:cs="Times New Roman" w:eastAsia="Times New Roman" w:hAnsi="Times New Roman"/>
          <w:sz w:val="18"/>
          <w:szCs w:val="18"/>
          <w:color w:val="auto"/>
        </w:rPr>
        <w:t>, an exempted company incorporated with limited liability under the Laws of the Cayman Islands (the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Fortune Peak Limited</w:t>
      </w:r>
      <w:r>
        <w:rPr>
          <w:rFonts w:ascii="Times New Roman" w:cs="Times New Roman" w:eastAsia="Times New Roman" w:hAnsi="Times New Roman"/>
          <w:sz w:val="18"/>
          <w:szCs w:val="18"/>
          <w:color w:val="auto"/>
        </w:rPr>
        <w:t>, a company incorporated under the laws of the British Virgin Islands (“</w:t>
      </w:r>
      <w:r>
        <w:rPr>
          <w:rFonts w:ascii="Times New Roman" w:cs="Times New Roman" w:eastAsia="Times New Roman" w:hAnsi="Times New Roman"/>
          <w:sz w:val="18"/>
          <w:szCs w:val="18"/>
          <w:u w:val="single" w:color="auto"/>
          <w:color w:val="auto"/>
        </w:rPr>
        <w:t>Original Seller 1</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right="20" w:hanging="652"/>
        <w:spacing w:after="0" w:line="28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Prosperity Oak Holdings Limited</w:t>
      </w:r>
      <w:r>
        <w:rPr>
          <w:rFonts w:ascii="Times New Roman" w:cs="Times New Roman" w:eastAsia="Times New Roman" w:hAnsi="Times New Roman"/>
          <w:sz w:val="18"/>
          <w:szCs w:val="18"/>
          <w:color w:val="auto"/>
        </w:rPr>
        <w:t>, a company incorporated under the laws of the British Virgin Islands (“</w:t>
      </w:r>
      <w:r>
        <w:rPr>
          <w:rFonts w:ascii="Times New Roman" w:cs="Times New Roman" w:eastAsia="Times New Roman" w:hAnsi="Times New Roman"/>
          <w:sz w:val="18"/>
          <w:szCs w:val="18"/>
          <w:u w:val="single" w:color="auto"/>
          <w:color w:val="auto"/>
        </w:rPr>
        <w:t>New Seller 1</w:t>
      </w:r>
      <w:r>
        <w:rPr>
          <w:rFonts w:ascii="Times New Roman" w:cs="Times New Roman" w:eastAsia="Times New Roman" w:hAnsi="Times New Roman"/>
          <w:sz w:val="18"/>
          <w:szCs w:val="18"/>
          <w:color w:val="auto"/>
        </w:rPr>
        <w:t>”, and, together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Original Seller 1, “</w:t>
      </w:r>
      <w:r>
        <w:rPr>
          <w:rFonts w:ascii="Times New Roman" w:cs="Times New Roman" w:eastAsia="Times New Roman" w:hAnsi="Times New Roman"/>
          <w:sz w:val="18"/>
          <w:szCs w:val="18"/>
          <w:u w:val="single" w:color="auto"/>
          <w:color w:val="auto"/>
        </w:rPr>
        <w:t>Seller 1</w:t>
      </w:r>
      <w:r>
        <w:rPr>
          <w:rFonts w:ascii="Times New Roman" w:cs="Times New Roman" w:eastAsia="Times New Roman" w:hAnsi="Times New Roman"/>
          <w:sz w:val="18"/>
          <w:szCs w:val="18"/>
          <w:color w:val="auto"/>
        </w:rPr>
        <w:t>”); and</w:t>
      </w:r>
    </w:p>
    <w:p>
      <w:pPr>
        <w:spacing w:after="0" w:line="154" w:lineRule="exact"/>
        <w:rPr>
          <w:rFonts w:ascii="Times New Roman" w:cs="Times New Roman" w:eastAsia="Times New Roman" w:hAnsi="Times New Roman"/>
          <w:sz w:val="18"/>
          <w:szCs w:val="18"/>
          <w:color w:val="auto"/>
        </w:rPr>
      </w:pPr>
    </w:p>
    <w:p>
      <w:pPr>
        <w:ind w:left="660" w:hanging="652"/>
        <w:spacing w:after="0" w:line="28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Apex Cyber Capital Limited</w:t>
      </w:r>
      <w:r>
        <w:rPr>
          <w:rFonts w:ascii="Times New Roman" w:cs="Times New Roman" w:eastAsia="Times New Roman" w:hAnsi="Times New Roman"/>
          <w:sz w:val="18"/>
          <w:szCs w:val="18"/>
          <w:color w:val="auto"/>
        </w:rPr>
        <w:t>, a company incorporated under the laws of the British Virgin Islands (“</w:t>
      </w:r>
      <w:r>
        <w:rPr>
          <w:rFonts w:ascii="Times New Roman" w:cs="Times New Roman" w:eastAsia="Times New Roman" w:hAnsi="Times New Roman"/>
          <w:sz w:val="18"/>
          <w:szCs w:val="18"/>
          <w:u w:val="single" w:color="auto"/>
          <w:color w:val="auto"/>
        </w:rPr>
        <w:t>Seller 2</w:t>
      </w:r>
      <w:r>
        <w:rPr>
          <w:rFonts w:ascii="Times New Roman" w:cs="Times New Roman" w:eastAsia="Times New Roman" w:hAnsi="Times New Roman"/>
          <w:sz w:val="18"/>
          <w:szCs w:val="18"/>
          <w:color w:val="auto"/>
        </w:rPr>
        <w:t>”, together with the Seller 1,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Seller</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parties to this Amendment are collectively referred to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and individually,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Purchaser, Original Seller 1 and Seller 2 has entered into that certain On-rack Sales and Purchase Agreement, dated as of June 27, 2025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amended or restated, the “</w:t>
      </w:r>
      <w:r>
        <w:rPr>
          <w:rFonts w:ascii="Times New Roman" w:cs="Times New Roman" w:eastAsia="Times New Roman" w:hAnsi="Times New Roman"/>
          <w:sz w:val="18"/>
          <w:szCs w:val="18"/>
          <w:u w:val="single" w:color="auto"/>
          <w:color w:val="auto"/>
        </w:rPr>
        <w:t>APA</w:t>
      </w:r>
      <w:r>
        <w:rPr>
          <w:rFonts w:ascii="Times New Roman" w:cs="Times New Roman" w:eastAsia="Times New Roman" w:hAnsi="Times New Roman"/>
          <w:sz w:val="18"/>
          <w:szCs w:val="18"/>
          <w:color w:val="auto"/>
        </w:rPr>
        <w:t>”). Any capitalized term used but not defined herein shall have the meaning ascribed to such term in the APA.</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each Party desires to consent to the amendments set forth herein.</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NOW</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THEREFORE</w:t>
      </w:r>
      <w:r>
        <w:rPr>
          <w:rFonts w:ascii="Times New Roman" w:cs="Times New Roman" w:eastAsia="Times New Roman" w:hAnsi="Times New Roman"/>
          <w:sz w:val="18"/>
          <w:szCs w:val="18"/>
          <w:color w:val="auto"/>
        </w:rPr>
        <w:t>, in consideration of the mutual covenants, agreements and undertakings contained herein, and other good and valuable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consideration, and subject to and on the terms and conditions set forth in this Amendment, the receipt and sufficiency of which are hereby acknowledged, the Parties, each intending to be legally bound, hereby agree as follows: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hanging="652"/>
        <w:spacing w:after="0" w:line="26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Original Seller 1 hereby assigns, transfers and conveys to New Seller 1, without representation, warranty or recourse, and New Seller 1 hereby accepts and assumes from Original Seller 1, all rights, benefits and obligations of Original Seller 1 under the APA (the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New Seller 1 agrees to be bound by, and to accept, observe, perform and discharge all obligations under, the APA as if it was an original party thereto, including the obligations to comply with all the terms and provisions of the APA.</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Original Seller 1 and New Seller 1 acknowledges and confirms that (i) the Assignment will not materially impede or delay the consummation of the transactions contemplated in the APA, and (ii) the Assignment will not relieve Original Seller 1 of any of its obligations under the APA.</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acknowledge that Original Seller 1 has notified the Purchaser of the Assignment pursuant to the terms of the APA.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jc w:val="both"/>
        <w:ind w:left="660" w:hanging="652"/>
        <w:spacing w:after="0" w:line="258"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Original Seller 1 and New Seller 1 agrees that it will promptly do, execute, acknowledge and deliver, and cause to be done, executed, acknowledged and delivered, all such further acts, deeds, certificates, assignments, transfers, conveyances, powers of attorney, assurances and other documents as may be reasonably requested further to give effect to the conveyance, transfer, assignment and delivery to New Seller 1 of all Original Seller 1’s rights, benefits and obligations under the APA and to the assumption by the New Seller 1 of all Original Seller 1’s rights, benefits and obligations under the APA.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Amendment to the Transfer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hanging="652"/>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hereby designated Mining Ninjas US, Inc, an entity incorporated under the laws of the State of Delaware and a wholly-owned subsidiary of the Purchaser, as the Titled Holder as defined in the APA, and the Sellers hereby waive any notice period in relation to the designation of the Title Holder as required in the APA.</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54"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Closing Date, (i) the Products listed in Exhibit A-1 and the related Purchased Assets (together, the “</w:t>
      </w:r>
      <w:r>
        <w:rPr>
          <w:rFonts w:ascii="Times New Roman" w:cs="Times New Roman" w:eastAsia="Times New Roman" w:hAnsi="Times New Roman"/>
          <w:sz w:val="18"/>
          <w:szCs w:val="18"/>
          <w:u w:val="single" w:color="auto"/>
          <w:color w:val="auto"/>
        </w:rPr>
        <w:t>Seller’s Assets</w:t>
      </w:r>
      <w:r>
        <w:rPr>
          <w:rFonts w:ascii="Times New Roman" w:cs="Times New Roman" w:eastAsia="Times New Roman" w:hAnsi="Times New Roman"/>
          <w:sz w:val="18"/>
          <w:szCs w:val="18"/>
          <w:color w:val="auto"/>
        </w:rPr>
        <w:t>”) shall be transferred by the applicable Seller to the Title Holder in a manner as required in the APA, and (ii) the Products listed in Exhibit A-2 and the related Purchased Assets (the “</w:t>
      </w:r>
      <w:r>
        <w:rPr>
          <w:rFonts w:ascii="Times New Roman" w:cs="Times New Roman" w:eastAsia="Times New Roman" w:hAnsi="Times New Roman"/>
          <w:sz w:val="18"/>
          <w:szCs w:val="18"/>
          <w:u w:val="single" w:color="auto"/>
          <w:color w:val="auto"/>
        </w:rPr>
        <w:t>Third-party’s Assets</w:t>
      </w:r>
      <w:r>
        <w:rPr>
          <w:rFonts w:ascii="Times New Roman" w:cs="Times New Roman" w:eastAsia="Times New Roman" w:hAnsi="Times New Roman"/>
          <w:sz w:val="18"/>
          <w:szCs w:val="18"/>
          <w:color w:val="auto"/>
        </w:rPr>
        <w:t>”) will be transferred by one or more Persons that is not a Seller (each, an “</w:t>
      </w:r>
      <w:r>
        <w:rPr>
          <w:rFonts w:ascii="Times New Roman" w:cs="Times New Roman" w:eastAsia="Times New Roman" w:hAnsi="Times New Roman"/>
          <w:sz w:val="18"/>
          <w:szCs w:val="18"/>
          <w:u w:val="single" w:color="auto"/>
          <w:color w:val="auto"/>
        </w:rPr>
        <w:t>Asset Owner</w:t>
      </w:r>
      <w:r>
        <w:rPr>
          <w:rFonts w:ascii="Times New Roman" w:cs="Times New Roman" w:eastAsia="Times New Roman" w:hAnsi="Times New Roman"/>
          <w:sz w:val="18"/>
          <w:szCs w:val="18"/>
          <w:color w:val="auto"/>
        </w:rPr>
        <w:t>”) to the Title Holder, and the relevant Seller as identified in the Exhibit A-2 shall cause the applicable Asset Owners to so transfer such Third-party’s Assets to the Title Holder in a manner as required in the APA. Each Seller hereby agrees and confirms that if the Purchaser suffers any losses arising from any dispute or claim between such Seller and the relevant Asset Owner regarding any relevant Third-party Assets (including but not limited to the lack of consideration paid by the relevant Seller to the Asset Owner), such Seller shall indemnify and hold harmless the Purchaser from and against such losses in full.</w:t>
      </w:r>
    </w:p>
    <w:p>
      <w:pPr>
        <w:spacing w:after="0" w:line="191" w:lineRule="exact"/>
        <w:rPr>
          <w:rFonts w:ascii="Times New Roman" w:cs="Times New Roman" w:eastAsia="Times New Roman" w:hAnsi="Times New Roman"/>
          <w:sz w:val="18"/>
          <w:szCs w:val="18"/>
          <w:color w:val="auto"/>
        </w:rPr>
      </w:pPr>
    </w:p>
    <w:p>
      <w:pPr>
        <w:jc w:val="both"/>
        <w:ind w:left="660" w:hanging="652"/>
        <w:spacing w:after="0" w:line="255"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hereby agree that solely with respect to any Third-party’s Assets, the first sentence of Section 6.2(f) of the APA shall be deleted in its entirety, provided that that each Seller represents and warrants to the Purchaser as of the date hereof and as of the Closing Date that, with respect to any Third-party Assets relevant to such Seller as identified in the Exhibit A-2, the relevant Asset Owners have, or will have as of the Closing Date of such Seller, good, valid and marketable title to such Third-party Assets, free and clear of Encumbrances (other than Encumbrances created by the terms of the Existing Hosting Agreements except for any violations or Claims thereunder or the APA ), and the relevant Asset Owners’ ownership and operation of the applicable Third-party’s Assets are valid under Applicable Laws where they are operated and located in all material respects, and all material licenses, permits, filings, registrations or approvals for such ownership and operation have been obtained.</w:t>
      </w:r>
    </w:p>
    <w:p>
      <w:pPr>
        <w:spacing w:after="0" w:line="188"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hereby agree that pursuant to Section 3.1 of the APA, the Consideration Shares of New Seller 1 to be issued at the Closing Date shall be 57,965,652 Class A Ordinary Shares, and the Consideration Shares of Seller 2 to be issued at the Closing Date shall be 61,587,787 Class A Ordinary Shares.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Products Under Maintenance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right="20" w:hanging="652"/>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Products listed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attached hereto are, as of the Closing Date, under maintenance or repair (such Products, “</w:t>
      </w:r>
      <w:r>
        <w:rPr>
          <w:rFonts w:ascii="Times New Roman" w:cs="Times New Roman" w:eastAsia="Times New Roman" w:hAnsi="Times New Roman"/>
          <w:sz w:val="18"/>
          <w:szCs w:val="18"/>
          <w:u w:val="single" w:color="auto"/>
          <w:color w:val="auto"/>
        </w:rPr>
        <w:t>Products Under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Maintenance</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Seller confirms that, with respect to the Products Under Maintenance of such Seller, that such Products Under Maintain shall be in good condition and adequate for the uses to which they are being put (the “</w:t>
      </w:r>
      <w:r>
        <w:rPr>
          <w:rFonts w:ascii="Times New Roman" w:cs="Times New Roman" w:eastAsia="Times New Roman" w:hAnsi="Times New Roman"/>
          <w:sz w:val="18"/>
          <w:szCs w:val="18"/>
          <w:u w:val="single" w:color="auto"/>
          <w:color w:val="auto"/>
        </w:rPr>
        <w:t>Restoration</w:t>
      </w:r>
      <w:r>
        <w:rPr>
          <w:rFonts w:ascii="Times New Roman" w:cs="Times New Roman" w:eastAsia="Times New Roman" w:hAnsi="Times New Roman"/>
          <w:sz w:val="18"/>
          <w:szCs w:val="18"/>
          <w:color w:val="auto"/>
        </w:rPr>
        <w:t>”) prior to the expiry of two (2) months from the Closing Date (the “</w:t>
      </w:r>
      <w:r>
        <w:rPr>
          <w:rFonts w:ascii="Times New Roman" w:cs="Times New Roman" w:eastAsia="Times New Roman" w:hAnsi="Times New Roman"/>
          <w:sz w:val="18"/>
          <w:szCs w:val="18"/>
          <w:u w:val="single" w:color="auto"/>
          <w:color w:val="auto"/>
        </w:rPr>
        <w:t>Restoration Period</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Restoration of any Products Under Maintenance has not been achieved within the Restoration Period(such Products Under Maintenance, the “</w:t>
      </w:r>
      <w:r>
        <w:rPr>
          <w:rFonts w:ascii="Times New Roman" w:cs="Times New Roman" w:eastAsia="Times New Roman" w:hAnsi="Times New Roman"/>
          <w:sz w:val="18"/>
          <w:szCs w:val="18"/>
          <w:u w:val="single" w:color="auto"/>
          <w:color w:val="auto"/>
        </w:rPr>
        <w:t>Defective Products</w:t>
      </w:r>
      <w:r>
        <w:rPr>
          <w:rFonts w:ascii="Times New Roman" w:cs="Times New Roman" w:eastAsia="Times New Roman" w:hAnsi="Times New Roman"/>
          <w:sz w:val="18"/>
          <w:szCs w:val="18"/>
          <w:color w:val="auto"/>
        </w:rPr>
        <w:t>”), the Seller of the Defective Products shall replace the Defective Products with cryptocurrency mining hardware and other equipment or merchandise with computational capacity equivalent to that of the Defective Products (i.e. providing the same level of hashrate expressed as a certain amount of T) within two (2) weeks after the expiration of the Restoration Period, and in which event, the Purchaser shall cause the Defective Products to be transferred back to such Seller.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Tax</w:t>
      </w:r>
    </w:p>
    <w:p>
      <w:pPr>
        <w:spacing w:after="0" w:line="225" w:lineRule="exact"/>
        <w:rPr>
          <w:sz w:val="20"/>
          <w:szCs w:val="20"/>
          <w:color w:val="auto"/>
        </w:rPr>
      </w:pPr>
    </w:p>
    <w:p>
      <w:pPr>
        <w:jc w:val="both"/>
        <w:spacing w:after="0" w:line="231" w:lineRule="exact"/>
        <w:rPr>
          <w:sz w:val="20"/>
          <w:szCs w:val="20"/>
          <w:color w:val="auto"/>
        </w:rPr>
      </w:pPr>
      <w:r>
        <w:rPr>
          <w:rFonts w:ascii="Times New Roman" w:cs="Times New Roman" w:eastAsia="Times New Roman" w:hAnsi="Times New Roman"/>
          <w:sz w:val="18"/>
          <w:szCs w:val="18"/>
          <w:color w:val="auto"/>
        </w:rPr>
        <w:t>Notwithstanding anything to the contrary set forth in the APA, if there is any SUT in connection with the sale of the Products listed in Exhibit A-1 or Exhibit A-2 with the “</w:t>
      </w:r>
      <w:r>
        <w:rPr>
          <w:rFonts w:ascii="SimSun" w:cs="SimSun" w:eastAsia="SimSun" w:hAnsi="SimSun"/>
          <w:sz w:val="18"/>
          <w:szCs w:val="18"/>
          <w:color w:val="auto"/>
        </w:rPr>
        <w:t>场地编码</w:t>
      </w:r>
      <w:r>
        <w:rPr>
          <w:rFonts w:ascii="Times New Roman" w:cs="Times New Roman" w:eastAsia="Times New Roman" w:hAnsi="Times New Roman"/>
          <w:sz w:val="18"/>
          <w:szCs w:val="18"/>
          <w:color w:val="auto"/>
        </w:rPr>
        <w:t>” of KWHTX01 (the “</w:t>
      </w:r>
      <w:r>
        <w:rPr>
          <w:rFonts w:ascii="Times New Roman" w:cs="Times New Roman" w:eastAsia="Times New Roman" w:hAnsi="Times New Roman"/>
          <w:sz w:val="18"/>
          <w:szCs w:val="18"/>
          <w:u w:val="single" w:color="auto"/>
          <w:color w:val="auto"/>
        </w:rPr>
        <w:t>KWHTX01 Products</w:t>
      </w:r>
      <w:r>
        <w:rPr>
          <w:rFonts w:ascii="Times New Roman" w:cs="Times New Roman" w:eastAsia="Times New Roman" w:hAnsi="Times New Roman"/>
          <w:sz w:val="18"/>
          <w:szCs w:val="18"/>
          <w:color w:val="auto"/>
        </w:rPr>
        <w:t>”), the Purchaser and the Seller of such Products shall each be liable for the payment of 50% of the amount of such SUT.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Hosting Arrangement</w:t>
      </w:r>
    </w:p>
    <w:p>
      <w:pPr>
        <w:spacing w:after="0" w:line="225" w:lineRule="exact"/>
        <w:rPr>
          <w:sz w:val="20"/>
          <w:szCs w:val="20"/>
          <w:color w:val="auto"/>
        </w:rPr>
      </w:pPr>
    </w:p>
    <w:p>
      <w:pPr>
        <w:jc w:val="both"/>
        <w:ind w:left="660" w:hanging="652"/>
        <w:spacing w:after="0" w:line="255"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Seller 1 hereby agrees to assist the relevant Title Holder to enter into a hosting and maintenance agreement with respect to the KWHTX01 Products (the “</w:t>
      </w:r>
      <w:r>
        <w:rPr>
          <w:rFonts w:ascii="Times New Roman" w:cs="Times New Roman" w:eastAsia="Times New Roman" w:hAnsi="Times New Roman"/>
          <w:sz w:val="18"/>
          <w:szCs w:val="18"/>
          <w:u w:val="single" w:color="auto"/>
          <w:color w:val="auto"/>
        </w:rPr>
        <w:t>Interim KWHTX01 Agreements</w:t>
      </w:r>
      <w:r>
        <w:rPr>
          <w:rFonts w:ascii="Times New Roman" w:cs="Times New Roman" w:eastAsia="Times New Roman" w:hAnsi="Times New Roman"/>
          <w:sz w:val="18"/>
          <w:szCs w:val="18"/>
          <w:color w:val="auto"/>
        </w:rPr>
        <w:t>”) with Bitmain Technologies Georgia Limited, a corporation incorporated under the laws of Georgia (Corporation No. 21203283) (the “</w:t>
      </w:r>
      <w:r>
        <w:rPr>
          <w:rFonts w:ascii="Times New Roman" w:cs="Times New Roman" w:eastAsia="Times New Roman" w:hAnsi="Times New Roman"/>
          <w:sz w:val="18"/>
          <w:szCs w:val="18"/>
          <w:u w:val="single" w:color="auto"/>
          <w:color w:val="auto"/>
        </w:rPr>
        <w:t>Bitmain</w:t>
      </w:r>
      <w:r>
        <w:rPr>
          <w:rFonts w:ascii="Times New Roman" w:cs="Times New Roman" w:eastAsia="Times New Roman" w:hAnsi="Times New Roman"/>
          <w:sz w:val="18"/>
          <w:szCs w:val="18"/>
          <w:color w:val="auto"/>
        </w:rPr>
        <w:t>”) with substantially the same terms and conditions as the Existing Hosting Agreement of the KWHTX01 Products (the “</w:t>
      </w:r>
      <w:r>
        <w:rPr>
          <w:rFonts w:ascii="Times New Roman" w:cs="Times New Roman" w:eastAsia="Times New Roman" w:hAnsi="Times New Roman"/>
          <w:sz w:val="18"/>
          <w:szCs w:val="18"/>
          <w:u w:val="single" w:color="auto"/>
          <w:color w:val="auto"/>
        </w:rPr>
        <w:t>Existing KWHTX01 Agreements</w:t>
      </w:r>
      <w:r>
        <w:rPr>
          <w:rFonts w:ascii="Times New Roman" w:cs="Times New Roman" w:eastAsia="Times New Roman" w:hAnsi="Times New Roman"/>
          <w:sz w:val="18"/>
          <w:szCs w:val="18"/>
          <w:color w:val="auto"/>
        </w:rPr>
        <w:t>”), and New Seller 1 or its applicable Affiliate shall, concurrent with the execution of the Interim KWHTX01 Agreements, terminate its hosting arrangement with Bitmain with respect to the KWHTX01 Products. After the expiration of the Interim KWHTX01 Agreements, New Seller 1 shall assist the Title Holder to enter into a new hosting and maintenance agreement with a new service provider, with the total fee rate not higher than that in the Interim KWHTX01 Agreements.</w:t>
      </w:r>
    </w:p>
    <w:p>
      <w:pPr>
        <w:spacing w:after="0" w:line="188" w:lineRule="exact"/>
        <w:rPr>
          <w:rFonts w:ascii="Times New Roman" w:cs="Times New Roman" w:eastAsia="Times New Roman" w:hAnsi="Times New Roman"/>
          <w:sz w:val="18"/>
          <w:szCs w:val="18"/>
          <w:color w:val="auto"/>
        </w:rPr>
      </w:pPr>
    </w:p>
    <w:p>
      <w:pPr>
        <w:jc w:val="both"/>
        <w:ind w:left="660" w:hanging="652"/>
        <w:spacing w:after="0" w:line="253"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satisfy the closing condition under Section 5.3(c) of the APA with respect to the KWHTX01 Products, either (i) on or prior to the Closing, New Seller 1 or its applicable Affiliate shall enter into an assignment agreement in the form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KWHTX01 Assignment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to assign all rights and obligations under Existing KWHTX01 Agreements with respect to the KWHTX01 Products to the Title Holder, from the date of Closing to the date of the Interim KWHTX01 Agreements, and shall obtain all consents as required for such assignment under the Existing KWHTX01 Agreements (for the avoidance of doubt, the Purchaser and the Title Holder shall not be liable for any liability with respect to the KWHTX01 Products under the Existing KWHTX01 Agreements as a result of or in connection with any event occurred before the Closing), or (ii) if the KWHTX01 Assignment Agreement is not entered into on or prior to the Closing, New Seller 1 and the Purchaser agrees to cooperate with each other in a manner to achieve the same economic effect as if the KWHTX01 Assignment Agreement has been entered into, provided that New Seller 1 shall ensure that, as of the Closing, (i) the computational capacity of the KWHTX01 Products and all mining income generated therefrom are fully attributable to the Title Holder, and the Purchaser and the Title Holder shall only be responsible for the actual operating costs associated with the KWHTX01 Products thereafter at the fee rate set forth in the Existing KWHTX01 Agreements, and (ii) the Title Holder has access to real-time operation and revenue data.</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 w:name="page9"/>
    <w:bookmarkEnd w:id="8"/>
    <w:p>
      <w:pPr>
        <w:jc w:val="both"/>
        <w:ind w:left="660" w:hanging="652"/>
        <w:spacing w:after="0" w:line="26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Seller 1 confirms that, as of the date of the Closing, the Existing KWHTX01 Agreements are: (a) Managed Hosting Service Framework Agreement entered into by and between Northstar Lending LLC., a corporation incorporated under the laws of Delaware (File No. 7154473) (“</w:t>
      </w:r>
      <w:r>
        <w:rPr>
          <w:rFonts w:ascii="Times New Roman" w:cs="Times New Roman" w:eastAsia="Times New Roman" w:hAnsi="Times New Roman"/>
          <w:sz w:val="18"/>
          <w:szCs w:val="18"/>
          <w:u w:val="single" w:color="auto"/>
          <w:color w:val="auto"/>
        </w:rPr>
        <w:t>Northstar</w:t>
      </w:r>
      <w:r>
        <w:rPr>
          <w:rFonts w:ascii="Times New Roman" w:cs="Times New Roman" w:eastAsia="Times New Roman" w:hAnsi="Times New Roman"/>
          <w:sz w:val="18"/>
          <w:szCs w:val="18"/>
          <w:color w:val="auto"/>
        </w:rPr>
        <w:t>”) and Bitmain on October 1, 2023, and (b) the Service Order entered into by and between Northstar and Bitmain on September 29,2023.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General Provisions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hanging="652"/>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provided herein, nothing in this Amendment shall be deemed to constitute a waiver of compliance by any Party with respect to any other term, provision or condition of the APA or shall be deemed or construed to amend, supplement or modify the APA or otherwise affect the rights and obligations of any Party thereto, all of which remain in full force and effect.</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shall be binding upon and shall inure to the benefit of the Parties and their respective successors and permitted assigns.</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may be executed and delivered in any number of counterparts, each of which, when so executed, will be deemed an original and all of which taken together will constitute one and the same agreement. Signatures of a Party which are sent to the other Party by e-mail (pdf.) or by facsimile transmission shall be binding as evidence of acceptance to the terms hereof by such Party.</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the APA, the Transaction Documents and any other documents and instruments and agreements among the Parties as contemplated hereby and thereby or referred to herein and therein, constitute the entire agreement among the Parties with respect to the subject matter hereof and supersede all prior agreements and understandings, both written and oral, among the Parties with respect to the subject matter hereof.</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have duly executed this Amendment as of the date first written above.</w:t>
      </w:r>
    </w:p>
    <w:p>
      <w:pPr>
        <w:spacing w:after="0" w:line="2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NIP Group Inc.</w:t>
      </w:r>
    </w:p>
    <w:p>
      <w:pPr>
        <w:spacing w:after="0" w:line="227"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Hicham Chahine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18415</wp:posOffset>
            </wp:positionV>
            <wp:extent cx="32061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Hicham Chahine</w:t>
      </w:r>
    </w:p>
    <w:p>
      <w:pPr>
        <w:spacing w:after="0" w:line="23"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5"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i w:val="1"/>
          <w:iCs w:val="1"/>
          <w:color w:val="auto"/>
        </w:rPr>
        <w:t>[Signature Page to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292735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684"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have duly executed this Amendment as of the date first written above.</w:t>
      </w:r>
    </w:p>
    <w:p>
      <w:pPr>
        <w:spacing w:after="0" w:line="2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Fortune Peak Limited</w:t>
      </w:r>
    </w:p>
    <w:p>
      <w:pPr>
        <w:spacing w:after="0" w:line="227"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Chiu Chang-wei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18415</wp:posOffset>
            </wp:positionV>
            <wp:extent cx="32061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Chiu Chang-wei</w:t>
      </w:r>
    </w:p>
    <w:p>
      <w:pPr>
        <w:spacing w:after="0" w:line="23"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Prosperity Oak Holdings Limited</w:t>
      </w:r>
    </w:p>
    <w:p>
      <w:pPr>
        <w:spacing w:after="0" w:line="227"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Chiu Chang-wei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18415</wp:posOffset>
            </wp:positionV>
            <wp:extent cx="32061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Chiu Chang-wei</w:t>
      </w:r>
    </w:p>
    <w:p>
      <w:pPr>
        <w:spacing w:after="0" w:line="23"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5"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i w:val="1"/>
          <w:iCs w:val="1"/>
          <w:color w:val="auto"/>
        </w:rPr>
        <w:t>[Signature Page to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292735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684"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have duly executed this Amendment as of the date first written above.</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Apex Cyber Capital Limited</w:t>
      </w:r>
    </w:p>
    <w:p>
      <w:pPr>
        <w:spacing w:after="0" w:line="227" w:lineRule="exact"/>
        <w:rPr>
          <w:sz w:val="20"/>
          <w:szCs w:val="20"/>
          <w:color w:val="auto"/>
        </w:rPr>
      </w:pPr>
    </w:p>
    <w:p>
      <w:pPr>
        <w:jc w:val="both"/>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KEE WEE KIANG, KENNETH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18415</wp:posOffset>
            </wp:positionV>
            <wp:extent cx="32061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KEE WEE KIANG, KENNETH</w:t>
      </w:r>
    </w:p>
    <w:p>
      <w:pPr>
        <w:spacing w:after="0" w:line="23"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5"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i w:val="1"/>
          <w:iCs w:val="1"/>
          <w:color w:val="auto"/>
        </w:rPr>
        <w:t>[Signature Page to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292735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684" w:right="1440"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Exhibit A-1 - Seller’s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301625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684" w:right="1440"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Exhibit A-2 - Third party’s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301625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684" w:right="1440"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7"/>
          <w:szCs w:val="17"/>
          <w:b w:val="1"/>
          <w:bCs w:val="1"/>
          <w:color w:val="auto"/>
        </w:rPr>
        <w:t>Exhibit B – Products Under Maintenance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301625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684" w:right="1440"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Exhibit C – Form of KWHTX01 Assignment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301625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9019"/>
      </w:cols>
      <w:pgMar w:left="1440" w:top="68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Roman"/>
      <w:start w:val="1"/>
    </w:lvl>
  </w:abstractNum>
  <w:abstractNum w:abstractNumId="1">
    <w:nsid w:val="46E87CCD"/>
    <w:multiLevelType w:val="hybridMultilevel"/>
    <w:lvl w:ilvl="0">
      <w:lvlJc w:val="left"/>
      <w:lvlText w:val="(%1)"/>
      <w:numFmt w:val="lowerLetter"/>
      <w:start w:val="1"/>
    </w:lvl>
  </w:abstractNum>
  <w:abstractNum w:abstractNumId="2">
    <w:nsid w:val="3D1B58BA"/>
    <w:multiLevelType w:val="hybridMultilevel"/>
    <w:lvl w:ilvl="0">
      <w:lvlJc w:val="left"/>
      <w:lvlText w:val="(%1)"/>
      <w:numFmt w:val="lowerLetter"/>
      <w:start w:val="4"/>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2025-09-09T07:51:53Z</dcterms:created>
  <dcterms:modified xsi:type="dcterms:W3CDTF">2025-09-09T07:51:53Z</dcterms:modified>
</cp:coreProperties>
</file>